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52B0">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成都市公共卫生临床医疗中心</w:t>
      </w:r>
    </w:p>
    <w:p w14:paraId="1B5BD992">
      <w:pPr>
        <w:bidi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内网交换设备替换及网络安全模块更新功能需求</w:t>
      </w:r>
    </w:p>
    <w:p w14:paraId="7A01E7E5">
      <w:pPr>
        <w:pStyle w:val="2"/>
        <w:rPr>
          <w:rFonts w:hint="eastAsia"/>
        </w:rPr>
      </w:pPr>
    </w:p>
    <w:p w14:paraId="5DB6E19A">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bCs/>
          <w:sz w:val="28"/>
          <w:szCs w:val="28"/>
        </w:rPr>
      </w:pPr>
      <w:bookmarkStart w:id="0" w:name="_Toc904479816"/>
      <w:bookmarkStart w:id="1" w:name="_Toc132287483"/>
      <w:bookmarkStart w:id="2" w:name="_Toc117101188"/>
      <w:bookmarkStart w:id="3" w:name="_Toc220076484"/>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整体要求</w:t>
      </w:r>
      <w:bookmarkEnd w:id="0"/>
      <w:bookmarkEnd w:id="1"/>
      <w:bookmarkEnd w:id="2"/>
      <w:bookmarkEnd w:id="3"/>
    </w:p>
    <w:p w14:paraId="255EB0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都市公共卫生临床医疗中心内网交换设备替换及网络安全模块更新的目标是：国产可控、防御增强、安全提升。完成医院内网2台汇聚数据交换平台、50台接入数据交换平台的国产化替换，提升网络可靠性与可管理性；更新医院安全设备病毒库、特征库，增强威胁识别与防御能力；部署网络态势安全管理系统，提升网安全态势感知与应急响应能力。</w:t>
      </w:r>
    </w:p>
    <w:p w14:paraId="42DD90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二、功能要求</w:t>
      </w:r>
    </w:p>
    <w:p w14:paraId="485033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汇聚数据交换平台</w:t>
      </w:r>
      <w:r>
        <w:rPr>
          <w:rFonts w:hint="eastAsia" w:ascii="仿宋_GB2312" w:hAnsi="仿宋_GB2312" w:eastAsia="仿宋_GB2312" w:cs="仿宋_GB2312"/>
          <w:b/>
          <w:bCs/>
          <w:sz w:val="24"/>
          <w:szCs w:val="24"/>
          <w:lang w:val="en-US" w:eastAsia="zh-CN"/>
        </w:rPr>
        <w:t>要求</w:t>
      </w:r>
    </w:p>
    <w:p w14:paraId="4B833FBE">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 数量：2台。</w:t>
      </w:r>
    </w:p>
    <w:p w14:paraId="75F65037">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 配置要求</w:t>
      </w:r>
    </w:p>
    <w:p w14:paraId="415E4C0A">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（1）单台配置：交换容量≥4.8Tbps，包转发率≥2000Mpps，万兆SFP+接口≥48个，40/100GE光接口≥6个，独立风扇框数≥4个模块化风扇框，可热插拔，配置双电源。</w:t>
      </w:r>
    </w:p>
    <w:p w14:paraId="675AED2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（2）设备CPU及转发芯片国产自主可控。</w:t>
      </w:r>
    </w:p>
    <w:p w14:paraId="75264FAD">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（3）支持对网络和设备的丢包情况进行统计。</w:t>
      </w:r>
    </w:p>
    <w:p w14:paraId="28A5B61C">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（4）支持VxLAN功能，支持BGP EVPN分布式Anycast网关，支持自动建立隧道，VXLAN隧道容量≥2K IPv4 隧道。</w:t>
      </w:r>
    </w:p>
    <w:p w14:paraId="0CC7B2F1">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 支持模拟人工处理故障的故障处理流程技术，能够自我诊断、自我恢复。</w:t>
      </w:r>
    </w:p>
    <w:p w14:paraId="5B1ADC39">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（6）支持终端类型识别、终端防仿冒、</w:t>
      </w:r>
      <w:bookmarkStart w:id="4" w:name="_GoBack"/>
      <w:bookmarkEnd w:id="4"/>
      <w:r>
        <w:rPr>
          <w:rFonts w:hint="eastAsia" w:ascii="仿宋_GB2312" w:hAnsi="仿宋_GB2312" w:eastAsia="仿宋_GB2312" w:cs="仿宋_GB2312"/>
          <w:kern w:val="2"/>
          <w:sz w:val="24"/>
          <w:szCs w:val="24"/>
          <w:lang w:val="en-US" w:eastAsia="zh-CN" w:bidi="ar-SA"/>
        </w:rPr>
        <w:t>应用识别技术。</w:t>
      </w:r>
    </w:p>
    <w:p w14:paraId="58261479">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（7）支持云管理，通过云管理平台可对该设备进行云端配置、监控、巡检等操作。</w:t>
      </w:r>
    </w:p>
    <w:p w14:paraId="67A740E6">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（8）支持独立ID指示灯，可以在后台点亮。</w:t>
      </w:r>
    </w:p>
    <w:p w14:paraId="737BBB0D">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（二） 接入数据交换平台要求</w:t>
      </w:r>
    </w:p>
    <w:p w14:paraId="06579395">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1、数量：50 台。</w:t>
      </w:r>
    </w:p>
    <w:p w14:paraId="465D037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2、配置要求</w:t>
      </w:r>
    </w:p>
    <w:p w14:paraId="49DCCD0F">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（1）单台配置：交换容量≥670Gbps，包转发率≥160Mpps，10/100/1000BASE-T以太网端口≥48个，10GE SFP+端口≥4个。</w:t>
      </w:r>
    </w:p>
    <w:p w14:paraId="4856E5EB">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（2）设备CPU及转发芯片均为国产自主可控。</w:t>
      </w:r>
    </w:p>
    <w:p w14:paraId="16113368">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（3）支持 RIP、RIPng、OSPFv2、OSPFv3、VRRPv4、VRRPv6 等协议。</w:t>
      </w:r>
    </w:p>
    <w:p w14:paraId="606A933E">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（4）支持复位按钮。</w:t>
      </w:r>
    </w:p>
    <w:p w14:paraId="553D86C0">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（5）支持网络的拓扑可视、健康可视、设备可管与可控；无需部署管理平台服务器，网络管理方案支持自动发现有络中的交换机、WLAN设备。</w:t>
      </w:r>
    </w:p>
    <w:p w14:paraId="6FAB4047">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支持资源监控，包含CPU/内存/文件句柄、任务监控/内存监控/CPU监控/异常/中断/系统快照/看门狗、补丁、docker机制、容器仓库等消息机制、进程管理、资源监控(CPU、内存等)、资源管理(内存、smbuf、存储介质等)、mod、系统诊断(黑匣子、日志、系统统计等)、基础机制服务 (包括队列、定时器、锁、无锁化、事件、原子操作等其他公共基础模块)、能力集、系统启动、安装部署等。</w:t>
      </w:r>
    </w:p>
    <w:p w14:paraId="73ABDA87">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（7）支持端口镜像(本地、远端镜像、ERSPAN)功能。</w:t>
      </w:r>
    </w:p>
    <w:p w14:paraId="251D5E63">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（三）网络安全模块更新要求</w:t>
      </w:r>
    </w:p>
    <w:p w14:paraId="6F63FA68">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APT高级威胁检测平台硬件维保和特征库升级，原厂硬件维保服务≥1年，原厂特征库升级授权≥1年。特征库包含：威胁情报库、webshell检测规则、网页漏洞利用规则、网络攻击检测规则等。升级授权须与现有授权进行合并。</w:t>
      </w:r>
    </w:p>
    <w:p w14:paraId="39110F33">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网络安全分析检测指挥平台硬件维保和特征库升级，原厂硬件维保服务≥1年，原厂特征库升级授权≥1年。特征库包含：入侵检测库、威胁情报库、应用识别库、恶意文件库、区域库等。升级授权须与现有授权进行合并。</w:t>
      </w:r>
    </w:p>
    <w:p w14:paraId="57F7D7A8">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内网终端安全管理系统软件升级，900个终端授权点Windows终端防病毒、补丁管理和运维管控功能原厂升级授权≥1年；30个服务器授权点Windows服务器防病毒功能原厂升级授权≥1年。升级授权须与现有授权进行合并。</w:t>
      </w:r>
    </w:p>
    <w:p w14:paraId="44EE0554">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外网终端安全管理系统软件升级，500个终端授权点Windows终端防病毒、补丁管理和运维管控功能原厂升级授权≥1年。1个服务器授权点Windows服务器防病毒功能原厂升级授权≥1年。升级授权须与现有授权进行合并。</w:t>
      </w:r>
    </w:p>
    <w:p w14:paraId="0FDF904F">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5、虚拟化主机安全系统软件升级，45授权点客户端防病毒、防火墙、入侵防御和防暴力破解功能原厂升级授权≥1年。升级授权须与现有授权进行合并。</w:t>
      </w:r>
    </w:p>
    <w:p w14:paraId="35A6A9FE">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数据中心核心防火墙硬件维保及特征库更新，数据中心核心防火墙（型号：NSG9000-TZ25M，数量：2）原厂硬件维保服务≥1年，原厂特征库升级授权≥1年。特征库包含：威胁情报、应用识别库、URL分类特征库、病毒防护特征库、入侵防御特征库。升级授权须与现有授权进行合并。</w:t>
      </w:r>
    </w:p>
    <w:p w14:paraId="38A6CBCD">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数据中心核心防火墙特征库更新，型号：NSG6000-TX45M，数量：2）原厂硬件维保服务≥1年，原厂特征库升级授权≥1年。特征库包含：威胁情报、应用识别库、URL分类特征库、病毒防护特征库、入侵防御特征库。升级授权须与现有授权进行合并。</w:t>
      </w:r>
    </w:p>
    <w:p w14:paraId="6ED51331">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8、外网出口防火墙特征库更新，原厂硬件维保服务≥1年，原厂特征库升级授权≥1年。特征库包含：威胁情报、应用识别库、URL分类特征库、病毒防护特征库、入侵防御特征库。升级授权须与现有授权进行合并。</w:t>
      </w:r>
    </w:p>
    <w:p w14:paraId="4A0970C8">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（四） 网络态势安全管理系统要求</w:t>
      </w:r>
    </w:p>
    <w:p w14:paraId="68FE2B2F">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 数量：1套。</w:t>
      </w:r>
    </w:p>
    <w:p w14:paraId="7B099FEF">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 配置要求</w:t>
      </w:r>
    </w:p>
    <w:p w14:paraId="601A4343">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（1）支持与医院现有的数据安全联动管理运营系统联动，实现统一入口管理，共用现有平台账号体系、权限策略、流量数据、安全告警、资产台账、漏洞数据。</w:t>
      </w:r>
    </w:p>
    <w:p w14:paraId="6419AE1B">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（2）支持展示医院数据流动态势，包括：数据流出境内/境外热点应用、数据流向分布、敏感数据统计、敏感数据访问总趋势、流动数据类型、数据流动实时监测等。</w:t>
      </w:r>
    </w:p>
    <w:p w14:paraId="09E9B4A7">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（3）支持展示医院数据安全态势，包括：最新风险、最新事件、事件类型分布、风险类型分布、危险趋势、资产风险等。</w:t>
      </w:r>
    </w:p>
    <w:p w14:paraId="24FA1177">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（4）支持展示医院数据分布态势，包括：数据源类型数据量分布、敏感数据等级分布、不同区域的数据资产情况、新发现数据表等。</w:t>
      </w:r>
    </w:p>
    <w:sectPr>
      <w:pgSz w:w="11906" w:h="16838"/>
      <w:pgMar w:top="215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8C1CBB9A-5972-45D4-B32B-13C9D62F68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43A5"/>
    <w:multiLevelType w:val="multilevel"/>
    <w:tmpl w:val="125043A5"/>
    <w:lvl w:ilvl="0" w:tentative="0">
      <w:start w:val="1"/>
      <w:numFmt w:val="chineseCountingThousand"/>
      <w:pStyle w:val="4"/>
      <w:suff w:val="space"/>
      <w:lvlText w:val="%1、"/>
      <w:lvlJc w:val="left"/>
      <w:pPr>
        <w:ind w:left="0" w:firstLine="0"/>
      </w:pPr>
      <w:rPr>
        <w:rFonts w:hint="eastAsia"/>
      </w:rPr>
    </w:lvl>
    <w:lvl w:ilvl="1" w:tentative="0">
      <w:start w:val="1"/>
      <w:numFmt w:val="decimal"/>
      <w:pStyle w:val="5"/>
      <w:isLgl/>
      <w:suff w:val="space"/>
      <w:lvlText w:val="%1.%2"/>
      <w:lvlJc w:val="left"/>
      <w:pPr>
        <w:ind w:left="284"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314"/>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1C73"/>
    <w:rsid w:val="00FA28B7"/>
    <w:rsid w:val="05057878"/>
    <w:rsid w:val="0933542B"/>
    <w:rsid w:val="0F0125F0"/>
    <w:rsid w:val="16805F56"/>
    <w:rsid w:val="19E73B27"/>
    <w:rsid w:val="1E233797"/>
    <w:rsid w:val="1F011D5D"/>
    <w:rsid w:val="25F442F8"/>
    <w:rsid w:val="286965C3"/>
    <w:rsid w:val="29926845"/>
    <w:rsid w:val="29DB32AA"/>
    <w:rsid w:val="2C1720CB"/>
    <w:rsid w:val="2C19085B"/>
    <w:rsid w:val="2C6F4330"/>
    <w:rsid w:val="2E8D3371"/>
    <w:rsid w:val="314F17B4"/>
    <w:rsid w:val="383438BF"/>
    <w:rsid w:val="3DA52F44"/>
    <w:rsid w:val="3E4405D4"/>
    <w:rsid w:val="49CB74CA"/>
    <w:rsid w:val="505C0F78"/>
    <w:rsid w:val="52CD3488"/>
    <w:rsid w:val="53DC7D0F"/>
    <w:rsid w:val="541B303A"/>
    <w:rsid w:val="55A64A77"/>
    <w:rsid w:val="57571CD8"/>
    <w:rsid w:val="598E4F31"/>
    <w:rsid w:val="5FBC1A20"/>
    <w:rsid w:val="63DD378F"/>
    <w:rsid w:val="675932C8"/>
    <w:rsid w:val="695579BE"/>
    <w:rsid w:val="6B034F2F"/>
    <w:rsid w:val="6D5E670D"/>
    <w:rsid w:val="6D626847"/>
    <w:rsid w:val="706517F5"/>
    <w:rsid w:val="7066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numPr>
        <w:ilvl w:val="0"/>
        <w:numId w:val="1"/>
      </w:numPr>
      <w:spacing w:before="160" w:after="160"/>
      <w:ind w:firstLineChars="0"/>
      <w:outlineLvl w:val="0"/>
    </w:pPr>
    <w:rPr>
      <w:b/>
      <w:bCs/>
      <w:kern w:val="44"/>
      <w:sz w:val="32"/>
      <w:szCs w:val="44"/>
    </w:rPr>
  </w:style>
  <w:style w:type="paragraph" w:styleId="5">
    <w:name w:val="heading 2"/>
    <w:basedOn w:val="1"/>
    <w:next w:val="1"/>
    <w:qFormat/>
    <w:uiPriority w:val="1"/>
    <w:pPr>
      <w:keepNext/>
      <w:keepLines/>
      <w:numPr>
        <w:ilvl w:val="1"/>
        <w:numId w:val="1"/>
      </w:numPr>
      <w:spacing w:before="160" w:after="160"/>
      <w:ind w:left="0" w:firstLineChars="0"/>
      <w:outlineLvl w:val="1"/>
    </w:pPr>
    <w:rPr>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textAlignment w:val="baseline"/>
    </w:pPr>
    <w:rPr>
      <w:rFonts w:ascii="Times New Roman" w:hAnsi="Times New Roman" w:eastAsia="宋体"/>
      <w:kern w:val="0"/>
      <w:szCs w:val="24"/>
    </w:rPr>
  </w:style>
  <w:style w:type="paragraph" w:styleId="3">
    <w:name w:val="Body Text"/>
    <w:basedOn w:val="1"/>
    <w:next w:val="1"/>
    <w:qFormat/>
    <w:uiPriority w:val="0"/>
    <w:pPr>
      <w:ind w:firstLine="0" w:firstLineChars="0"/>
    </w:pPr>
    <w:rPr>
      <w:rFonts w:ascii="楷体_GB2312" w:hAnsi="Arial" w:eastAsia="楷体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21"/>
    <w:basedOn w:val="9"/>
    <w:qFormat/>
    <w:uiPriority w:val="0"/>
    <w:rPr>
      <w:rFonts w:hint="eastAsia" w:ascii="宋体" w:hAnsi="宋体" w:eastAsia="宋体" w:cs="宋体"/>
      <w:color w:val="000000"/>
      <w:sz w:val="21"/>
      <w:szCs w:val="21"/>
      <w:u w:val="none"/>
    </w:rPr>
  </w:style>
  <w:style w:type="character" w:customStyle="1" w:styleId="12">
    <w:name w:val="font41"/>
    <w:basedOn w:val="9"/>
    <w:qFormat/>
    <w:uiPriority w:val="0"/>
    <w:rPr>
      <w:rFonts w:hint="default" w:ascii="Times New Roman" w:hAnsi="Times New Roman" w:cs="Times New Roman"/>
      <w:color w:val="000000"/>
      <w:sz w:val="21"/>
      <w:szCs w:val="21"/>
      <w:u w:val="none"/>
    </w:rPr>
  </w:style>
  <w:style w:type="character" w:customStyle="1" w:styleId="13">
    <w:name w:val="font3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1897</Words>
  <Characters>2288</Characters>
  <Lines>0</Lines>
  <Paragraphs>0</Paragraphs>
  <TotalTime>14</TotalTime>
  <ScaleCrop>false</ScaleCrop>
  <LinksUpToDate>false</LinksUpToDate>
  <CharactersWithSpaces>2321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2024-04-03T06:22:00Z</dcterms:created>
  <dc:creator>Administrator</dc:creator>
  <cp:lastModifiedBy>Administrator</cp:lastModifiedBy>
  <cp:lastPrinted>2026-03-05T06:38:00Z</cp:lastPrinted>
  <dcterms:modified xsi:type="dcterms:W3CDTF">2026-05-15T07:13:50Z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D8D1514086484C449B8713FF5B3747D0_12</vt:lpwstr>
  </property>
  <property fmtid="{D5CDD505-2E9C-101B-9397-08002B2CF9AE}" pid="4" name="KSOTemplateDocerSaveRecord">
    <vt:lpwstr>eyJoZGlkIjoiMzNmN2QyYWRlNzM3OGE4NDgyNmFiNmQ5YmIyOGRhMzIiLCJ1c2VySWQiOiIxNjY1MDgyMTk5In0=</vt:lpwstr>
  </property>
</Properties>
</file>