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F52B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成都市公共卫生临床医疗中心</w:t>
      </w:r>
    </w:p>
    <w:p w14:paraId="1B5BD992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数据中心数据存储升级扩容功能需求</w:t>
      </w:r>
    </w:p>
    <w:p w14:paraId="0FCD6452">
      <w:pPr>
        <w:pStyle w:val="2"/>
        <w:rPr>
          <w:rFonts w:hint="eastAsia"/>
        </w:rPr>
      </w:pPr>
    </w:p>
    <w:p w14:paraId="5DB6E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bookmarkStart w:id="0" w:name="_Toc904479816"/>
      <w:bookmarkStart w:id="1" w:name="_Toc220076484"/>
      <w:bookmarkStart w:id="2" w:name="_Toc117101188"/>
      <w:bookmarkStart w:id="3" w:name="_Toc132287483"/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一、整体要求</w:t>
      </w:r>
      <w:bookmarkEnd w:id="0"/>
      <w:bookmarkEnd w:id="1"/>
      <w:bookmarkEnd w:id="2"/>
      <w:bookmarkEnd w:id="3"/>
    </w:p>
    <w:p w14:paraId="44BAA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成都市公共卫生临床医疗中心数据中心存储升级扩容项目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的目标是：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兼容扩容、统一管理、安全防护、稳定运维。通过扩容兼容现有硬件设备，提升存储容量；统一管理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集中调度存储资源，确保扩容过程中业务不中断、数据不丢失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部署专业安全系统，增强数据安全防护；配套原厂维保服务，保障系统长期稳定运行。</w:t>
      </w:r>
    </w:p>
    <w:p w14:paraId="31749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二、功能要求</w:t>
      </w:r>
    </w:p>
    <w:p w14:paraId="48503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  <w:t>HIS全闪存储扩容要求</w:t>
      </w:r>
    </w:p>
    <w:p w14:paraId="3D0BBA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1、数量：2套。</w:t>
      </w:r>
    </w:p>
    <w:p w14:paraId="7A6818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2、配置要求</w:t>
      </w:r>
    </w:p>
    <w:p w14:paraId="56D4D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单套配置：企业级NVMe SSD硬盘数量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2块，单盘容量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3.84TB。</w:t>
      </w:r>
    </w:p>
    <w:p w14:paraId="0468C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硬盘兼容现有华为OceanStor Dorado 5300 V6存储设备。</w:t>
      </w:r>
    </w:p>
    <w:p w14:paraId="3AB6A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硬盘无缝接入现有存储设备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并被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正常识别及统一管理。</w:t>
      </w:r>
    </w:p>
    <w:p w14:paraId="45427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硬盘支持热插拔功能，满足7×24小时稳定运行需求。</w:t>
      </w:r>
    </w:p>
    <w:p w14:paraId="72AE3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硬盘具备企业级高可靠性，支持故障检测及预警能力。</w:t>
      </w:r>
    </w:p>
    <w:p w14:paraId="7EE3A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  <w:t>内网虚拟化存储扩容要求</w:t>
      </w:r>
    </w:p>
    <w:p w14:paraId="64B81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1、数量：2套。</w:t>
      </w:r>
    </w:p>
    <w:p w14:paraId="786919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2、配置要求</w:t>
      </w:r>
    </w:p>
    <w:p w14:paraId="26A059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硬盘要求</w:t>
      </w:r>
    </w:p>
    <w:p w14:paraId="7F1A0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单套配置：NL-SAS硬盘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数量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12块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单盘容量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10TB。</w:t>
      </w:r>
    </w:p>
    <w:p w14:paraId="3C602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硬盘规格及性能：规格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3.5英寸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转速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7.2K RPM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接口速率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12Gbps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支持热插拔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功能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。</w:t>
      </w:r>
    </w:p>
    <w:p w14:paraId="03A60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硬盘兼容性：兼容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现有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华为OceanStor 5310存储设备。</w:t>
      </w:r>
    </w:p>
    <w:p w14:paraId="14F499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硬盘框要求</w:t>
      </w:r>
    </w:p>
    <w:p w14:paraId="193E5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单台配置：硬盘框数量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1个，采用标准机架式结构。</w:t>
      </w:r>
    </w:p>
    <w:p w14:paraId="6F9A3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扩展能力：支持与华为OceanStor 5310存储系统级联扩展，兼容现有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硬盘框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。</w:t>
      </w:r>
    </w:p>
    <w:p w14:paraId="57F89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盘位设计：单框可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容纳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3.5英寸NL-SAS/SAS硬盘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数量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24块，支持硬盘热插拔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功能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。</w:t>
      </w:r>
    </w:p>
    <w:p w14:paraId="5DA6BE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供电：支持220V交流/240V高压直流双模式供电，配置冗余电源模块。</w:t>
      </w:r>
    </w:p>
    <w:p w14:paraId="116CF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</w:rPr>
        <w:t>级联：标配级联模块及所需辅材，可与华为OceanStor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</w:rPr>
        <w:t>5310控制器无缝级联。</w:t>
      </w:r>
    </w:p>
    <w:p w14:paraId="4EB84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  <w:t>数据威胁防御系统要求</w:t>
      </w:r>
    </w:p>
    <w:p w14:paraId="4DAE2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1、数量：1套。</w:t>
      </w:r>
    </w:p>
    <w:p w14:paraId="51B02B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2、配置要求</w:t>
      </w:r>
    </w:p>
    <w:p w14:paraId="1D6CA3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kern w:val="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网络吞吐性能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5Gbps；配置千兆电口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数量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2个，千兆光口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数量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4个，万兆光口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数量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2个，预留接口扩展插槽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数量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2个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每个扩展插槽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支持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扩展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万兆接口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数量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8个，硬盘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容量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8T。</w:t>
      </w:r>
    </w:p>
    <w:p w14:paraId="77DAC6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kern w:val="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支持透明代理和反向代理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部署方式。</w:t>
      </w:r>
    </w:p>
    <w:p w14:paraId="524AB8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kern w:val="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支持根据字符串、正则表达式匹配HTTP协议中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目的端口、目的ip、请求方法、请求头、请求体、请求query、请求path、请求host、状态代码、响应头、响应体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等信息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设置自定义API识别规则。</w:t>
      </w:r>
    </w:p>
    <w:p w14:paraId="0B4378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kern w:val="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支持基于源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IP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、目的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IP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、HOST、API等维度配置黑名单策略，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是否开启XFF客户端IP检测及记录管控日志。</w:t>
      </w:r>
    </w:p>
    <w:p w14:paraId="69C232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kern w:val="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支持速率限制策略配置，在指定时间段根据请求访问总数和客户端请求数选择速率阈值。</w:t>
      </w:r>
    </w:p>
    <w:p w14:paraId="760972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kern w:val="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（6）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支持根据源IP地址、请求方法对API接口进行管控，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是否开启日志记录和XFF客户端IP检测的能力。</w:t>
      </w:r>
    </w:p>
    <w:p w14:paraId="131522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kern w:val="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（7）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支持对传输中XML/JSON等响应内容中的敏感数据类型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脱敏处理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可自定义设置遮盖算法。</w:t>
      </w:r>
    </w:p>
    <w:p w14:paraId="60D2A2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kern w:val="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（8）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支持自定义数据脱敏的配置模板，选择需要脱敏的关键字标签以及关联的脱敏模板，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支持是否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记录日志。</w:t>
      </w:r>
    </w:p>
    <w:p w14:paraId="4613B9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kern w:val="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（9）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支持检测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针对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API接口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SQL注入、代码注入、命令注入、XSS等威胁行为。支持自定义API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接口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的防护动作，包含阻断、告警、放行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等功能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。</w:t>
      </w:r>
    </w:p>
    <w:p w14:paraId="7ACDFB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kern w:val="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（10）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具备软件过载保护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自动恢复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手动切换bypass功能；可根据CPU、内存使用率等参数设置，当达到阈值时，自动切换bypass功能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当峰值过去后，可自动恢复。</w:t>
      </w:r>
    </w:p>
    <w:p w14:paraId="79D752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kern w:val="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（11）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支持与现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API接口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智能分析与安全检测管理系统联动，纳入集中管理，上传管控日志、威胁告警日志、涉敏访问日志、业务访问日志等。</w:t>
      </w:r>
    </w:p>
    <w:p w14:paraId="18633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highlight w:val="none"/>
          <w:lang w:val="en-US" w:eastAsia="zh-CN"/>
        </w:rPr>
        <w:t>四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  <w:t>数据智能分析研判系统要求</w:t>
      </w:r>
    </w:p>
    <w:p w14:paraId="759BE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1、数量：1套。</w:t>
      </w:r>
    </w:p>
    <w:p w14:paraId="59BD72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2、配置要求</w:t>
      </w:r>
    </w:p>
    <w:p w14:paraId="30833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支持集成在医院现有的外网APT高级威胁检测平台上，实现统一入口管理，共用现有平台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账号体系、权限策略、流量数据、安全告警、资产台账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。</w:t>
      </w:r>
    </w:p>
    <w:p w14:paraId="343FC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支持基于云端智能分析的一键自动研判，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提供研判依据、研判结果、处置建议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等功能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。</w:t>
      </w:r>
    </w:p>
    <w:p w14:paraId="55C95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支持对研判结果进行评论,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编辑与删除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等功能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。</w:t>
      </w:r>
    </w:p>
    <w:p w14:paraId="52337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支持告警标签化管理，自定义打标签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等功能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。</w:t>
      </w:r>
    </w:p>
    <w:p w14:paraId="588D1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支持基于云端威胁情报的威胁检测，威胁情报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数量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800万条，威胁类型包括：APT事件、僵尸网络、勒索软件、黑市工具、远控木马、窃密木马、网络蠕虫、流氓推广、恶意下载、感染型病毒、挖矿病毒等。</w:t>
      </w:r>
    </w:p>
    <w:p w14:paraId="1205C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（6）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支持对告警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进行智能分诊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辅助降噪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，快速聚焦高价值告警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。</w:t>
      </w:r>
    </w:p>
    <w:p w14:paraId="1A17A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（7）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支持场景化管理告警，可根据不同的检索条件及顺序、列表字段及顺序生成自定义检索场景，并支持拖拽调节自定义场景顺序。</w:t>
      </w:r>
    </w:p>
    <w:p w14:paraId="0958E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  <w:t>2.5 核心存储更新要求</w:t>
      </w:r>
    </w:p>
    <w:p w14:paraId="24FA11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rPr>
          <w:rFonts w:hint="eastAsia" w:ascii="仿宋_GB2312" w:hAnsi="仿宋_GB2312" w:eastAsia="仿宋_GB2312" w:cs="仿宋_GB2312"/>
          <w:kern w:val="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核心存储更新包含：HIS全闪存储（2台华为OceanStor Dorado 5300 V6）、内网虚拟化存储(2台华为OceanStor 5310)、Pacs存储(1台OceanStor 5310)、外网虚拟化存储(1台OceanStor 5310)、光纤交换机(6台OceanStor SNS3664)原厂1年硬件维保服务。</w:t>
      </w:r>
    </w:p>
    <w:sectPr>
      <w:pgSz w:w="11906" w:h="16838"/>
      <w:pgMar w:top="215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F63A28C-AEA9-486A-A8F2-C44BCA029FC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5043A5"/>
    <w:multiLevelType w:val="multilevel"/>
    <w:tmpl w:val="125043A5"/>
    <w:lvl w:ilvl="0" w:tentative="0">
      <w:start w:val="1"/>
      <w:numFmt w:val="chineseCountingThousand"/>
      <w:pStyle w:val="4"/>
      <w:suff w:val="space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5"/>
      <w:isLgl/>
      <w:suff w:val="space"/>
      <w:lvlText w:val="%1.%2"/>
      <w:lvlJc w:val="left"/>
      <w:pPr>
        <w:ind w:left="284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640"/>
    <w:rsid w:val="000E1517"/>
    <w:rsid w:val="002307CF"/>
    <w:rsid w:val="002868C7"/>
    <w:rsid w:val="002D0FCB"/>
    <w:rsid w:val="004066ED"/>
    <w:rsid w:val="00645640"/>
    <w:rsid w:val="00C114DB"/>
    <w:rsid w:val="00C155BE"/>
    <w:rsid w:val="00E71C73"/>
    <w:rsid w:val="00E86A69"/>
    <w:rsid w:val="00F13BAB"/>
    <w:rsid w:val="01F64BC5"/>
    <w:rsid w:val="03784112"/>
    <w:rsid w:val="07CA4A65"/>
    <w:rsid w:val="0933542B"/>
    <w:rsid w:val="0C0149DC"/>
    <w:rsid w:val="10EA3C90"/>
    <w:rsid w:val="118B5473"/>
    <w:rsid w:val="12A165D1"/>
    <w:rsid w:val="16805F56"/>
    <w:rsid w:val="16B8213B"/>
    <w:rsid w:val="197E1052"/>
    <w:rsid w:val="1B754A9E"/>
    <w:rsid w:val="1E233797"/>
    <w:rsid w:val="20F7066B"/>
    <w:rsid w:val="25B944DC"/>
    <w:rsid w:val="25F442F8"/>
    <w:rsid w:val="286965C3"/>
    <w:rsid w:val="288F4F38"/>
    <w:rsid w:val="29926845"/>
    <w:rsid w:val="29DB32AA"/>
    <w:rsid w:val="2C1720CB"/>
    <w:rsid w:val="2C19085B"/>
    <w:rsid w:val="2CC724BA"/>
    <w:rsid w:val="2CC90092"/>
    <w:rsid w:val="2CD90F69"/>
    <w:rsid w:val="2E3D31FA"/>
    <w:rsid w:val="2FC7649F"/>
    <w:rsid w:val="314F17B4"/>
    <w:rsid w:val="32A82BA2"/>
    <w:rsid w:val="34645984"/>
    <w:rsid w:val="37B81B43"/>
    <w:rsid w:val="383438BF"/>
    <w:rsid w:val="3A3473AE"/>
    <w:rsid w:val="3AA71340"/>
    <w:rsid w:val="3DA52F44"/>
    <w:rsid w:val="3E4405D4"/>
    <w:rsid w:val="41166258"/>
    <w:rsid w:val="44986F15"/>
    <w:rsid w:val="49CB74CA"/>
    <w:rsid w:val="4A1134A2"/>
    <w:rsid w:val="4C746A8D"/>
    <w:rsid w:val="505C0F78"/>
    <w:rsid w:val="52CD3488"/>
    <w:rsid w:val="53DC7D0F"/>
    <w:rsid w:val="55A64A77"/>
    <w:rsid w:val="57571CD8"/>
    <w:rsid w:val="588B0E82"/>
    <w:rsid w:val="598E4F31"/>
    <w:rsid w:val="59BF753B"/>
    <w:rsid w:val="5ECE1AC8"/>
    <w:rsid w:val="5FBC1A20"/>
    <w:rsid w:val="626B2804"/>
    <w:rsid w:val="66B477F6"/>
    <w:rsid w:val="675932C8"/>
    <w:rsid w:val="67B64D3E"/>
    <w:rsid w:val="695579BE"/>
    <w:rsid w:val="6B034F2F"/>
    <w:rsid w:val="6D5E670D"/>
    <w:rsid w:val="6D626847"/>
    <w:rsid w:val="70666005"/>
    <w:rsid w:val="741B7D08"/>
    <w:rsid w:val="7A98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60" w:after="160"/>
      <w:outlineLvl w:val="0"/>
    </w:pPr>
    <w:rPr>
      <w:b/>
      <w:bCs/>
      <w:kern w:val="44"/>
      <w:sz w:val="32"/>
      <w:szCs w:val="44"/>
    </w:rPr>
  </w:style>
  <w:style w:type="paragraph" w:styleId="5">
    <w:name w:val="heading 2"/>
    <w:basedOn w:val="1"/>
    <w:next w:val="1"/>
    <w:qFormat/>
    <w:uiPriority w:val="1"/>
    <w:pPr>
      <w:keepNext/>
      <w:keepLines/>
      <w:numPr>
        <w:ilvl w:val="1"/>
        <w:numId w:val="1"/>
      </w:numPr>
      <w:spacing w:before="160" w:after="160"/>
      <w:ind w:left="0"/>
      <w:outlineLvl w:val="1"/>
    </w:pPr>
    <w:rPr>
      <w:b/>
      <w:bCs/>
      <w:sz w:val="30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275" w:lineRule="atLeast"/>
      <w:textAlignment w:val="baseline"/>
    </w:pPr>
    <w:rPr>
      <w:rFonts w:ascii="Times New Roman" w:hAnsi="Times New Roman" w:eastAsia="宋体"/>
      <w:kern w:val="0"/>
      <w:szCs w:val="24"/>
    </w:rPr>
  </w:style>
  <w:style w:type="paragraph" w:styleId="3">
    <w:name w:val="Body Text"/>
    <w:basedOn w:val="1"/>
    <w:next w:val="1"/>
    <w:qFormat/>
    <w:uiPriority w:val="0"/>
    <w:rPr>
      <w:rFonts w:ascii="楷体_GB2312" w:hAnsi="Arial" w:eastAsia="楷体_GB2312"/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1661</Words>
  <Characters>2063</Characters>
  <Lines>44</Lines>
  <Paragraphs>48</Paragraphs>
  <TotalTime>21</TotalTime>
  <ScaleCrop>false</ScaleCrop>
  <LinksUpToDate>false</LinksUpToDate>
  <CharactersWithSpaces>2081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2024-04-03T06:22:00Z</dcterms:created>
  <dc:creator>Administrator</dc:creator>
  <cp:lastModifiedBy>Administrator</cp:lastModifiedBy>
  <cp:lastPrinted>2026-03-05T06:38:00Z</cp:lastPrinted>
  <dcterms:modified xsi:type="dcterms:W3CDTF">2026-05-15T07:03:54Z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D8D1514086484C449B8713FF5B3747D0_12</vt:lpwstr>
  </property>
  <property fmtid="{D5CDD505-2E9C-101B-9397-08002B2CF9AE}" pid="4" name="KSOTemplateDocerSaveRecord">
    <vt:lpwstr>eyJoZGlkIjoiMzNmN2QyYWRlNzM3OGE4NDgyNmFiNmQ5YmIyOGRhMzIiLCJ1c2VySWQiOiIxNjY1MDgyMTk5In0=</vt:lpwstr>
  </property>
</Properties>
</file>