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UPS电源设备</w:t>
      </w:r>
      <w:r>
        <w:rPr>
          <w:rFonts w:hint="eastAsia" w:ascii="宋体" w:hAnsi="宋体" w:eastAsia="宋体" w:cs="宋体"/>
          <w:b/>
          <w:bCs/>
          <w:sz w:val="52"/>
          <w:szCs w:val="52"/>
        </w:rPr>
        <w:t>技术</w:t>
      </w:r>
      <w:r>
        <w:rPr>
          <w:rFonts w:hint="eastAsia" w:ascii="宋体" w:hAnsi="宋体" w:eastAsia="宋体" w:cs="宋体"/>
          <w:b/>
          <w:bCs/>
          <w:sz w:val="52"/>
          <w:szCs w:val="52"/>
          <w:lang w:val="en-US" w:eastAsia="zh-CN"/>
        </w:rPr>
        <w:t>需求</w:t>
      </w:r>
    </w:p>
    <w:p>
      <w:pPr>
        <w:spacing w:line="360" w:lineRule="auto"/>
        <w:rPr>
          <w:rFonts w:hint="eastAsia" w:ascii="宋体" w:hAnsi="宋体" w:eastAsia="宋体" w:cs="宋体"/>
          <w:color w:val="000000"/>
          <w:kern w:val="0"/>
          <w:sz w:val="24"/>
        </w:rPr>
      </w:pPr>
      <w:bookmarkStart w:id="0" w:name="_GoBack"/>
      <w:bookmarkEnd w:id="0"/>
    </w:p>
    <w:p>
      <w:pPr>
        <w:spacing w:line="360" w:lineRule="auto"/>
        <w:rPr>
          <w:rFonts w:hint="default" w:ascii="宋体" w:hAnsi="宋体" w:eastAsia="宋体" w:cs="宋体"/>
          <w:b/>
          <w:bCs/>
          <w:color w:val="333333"/>
          <w:sz w:val="24"/>
          <w:szCs w:val="24"/>
          <w:shd w:val="clear" w:color="auto" w:fill="FFFFFF"/>
          <w:lang w:val="en-US"/>
        </w:rPr>
      </w:pPr>
      <w:r>
        <w:rPr>
          <w:rFonts w:hint="eastAsia" w:ascii="宋体" w:hAnsi="宋体" w:eastAsia="宋体" w:cs="宋体"/>
          <w:b/>
          <w:bCs/>
          <w:color w:val="333333"/>
          <w:sz w:val="24"/>
          <w:szCs w:val="24"/>
          <w:shd w:val="clear" w:color="auto" w:fill="FFFFFF"/>
        </w:rPr>
        <w:t>1</w:t>
      </w:r>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b/>
          <w:bCs/>
          <w:color w:val="333333"/>
          <w:sz w:val="24"/>
          <w:szCs w:val="24"/>
          <w:shd w:val="clear" w:color="auto" w:fill="FFFFFF"/>
        </w:rPr>
        <w:t>航天院区中心机房配电系统改造总体</w:t>
      </w:r>
      <w:r>
        <w:rPr>
          <w:rFonts w:hint="eastAsia" w:ascii="宋体" w:hAnsi="宋体" w:eastAsia="宋体" w:cs="宋体"/>
          <w:b/>
          <w:bCs/>
          <w:color w:val="333333"/>
          <w:sz w:val="24"/>
          <w:szCs w:val="24"/>
          <w:shd w:val="clear" w:color="auto" w:fill="FFFFFF"/>
          <w:lang w:val="en-US" w:eastAsia="zh-CN"/>
        </w:rPr>
        <w:t>要求</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航天院区中心机房原160KVA模块化UPS电源主机新增一台20KVA/20KW功率模块及更换蓄电池；新增塔式UPS40KVA电源系统一套，将原模块化UPS换下来的旧电池安装配套使用，方案如下： </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航天院区中心机房后备电源系统目前承担全院区核心信息化系统的供电，为提升后备电源系统整体可靠性及稳定性，本次采用配电系统改造方式，对机房电源系统升级；本次对机房负载进行重新分配：原有的160KVA模块化UPS只承担机房核心设备供电，该模块化UPS新增一个功率模块；新增一台40KVA UPS塔式主机，将核心设备以外的负载分配到新增的UPS上。将原有旧蓄电池组拆除重新安装到新增的40KVA UPS主机上，再重新采购4组蓄电池替代原有老旧蓄电池，以增加后备放电时间及设备可靠性。</w:t>
      </w:r>
    </w:p>
    <w:p>
      <w:pPr>
        <w:spacing w:line="360" w:lineRule="auto"/>
        <w:rPr>
          <w:rFonts w:hint="eastAsia" w:ascii="宋体" w:hAnsi="宋体" w:eastAsia="宋体" w:cs="宋体"/>
          <w:color w:val="333333"/>
          <w:sz w:val="24"/>
          <w:szCs w:val="24"/>
          <w:shd w:val="clear" w:color="auto" w:fill="FFFFFF"/>
        </w:rPr>
      </w:pPr>
    </w:p>
    <w:p>
      <w:pPr>
        <w:widowControl/>
        <w:shd w:val="clear" w:color="auto" w:fill="FFFFFF"/>
        <w:spacing w:line="272"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航天院区中心机房原1</w:t>
      </w:r>
      <w:r>
        <w:rPr>
          <w:rFonts w:ascii="宋体" w:hAnsi="宋体" w:eastAsia="宋体" w:cs="宋体"/>
          <w:b/>
          <w:bCs/>
          <w:color w:val="000000"/>
          <w:kern w:val="0"/>
          <w:sz w:val="24"/>
          <w:szCs w:val="24"/>
        </w:rPr>
        <w:t>60KVA</w:t>
      </w:r>
      <w:r>
        <w:rPr>
          <w:rFonts w:hint="eastAsia" w:ascii="宋体" w:hAnsi="宋体" w:eastAsia="宋体" w:cs="宋体"/>
          <w:b/>
          <w:bCs/>
          <w:color w:val="000000"/>
          <w:kern w:val="0"/>
          <w:sz w:val="24"/>
          <w:szCs w:val="24"/>
        </w:rPr>
        <w:t>模块化U</w:t>
      </w:r>
      <w:r>
        <w:rPr>
          <w:rFonts w:ascii="宋体" w:hAnsi="宋体" w:eastAsia="宋体" w:cs="宋体"/>
          <w:b/>
          <w:bCs/>
          <w:color w:val="000000"/>
          <w:kern w:val="0"/>
          <w:sz w:val="24"/>
          <w:szCs w:val="24"/>
        </w:rPr>
        <w:t>PS</w:t>
      </w:r>
      <w:r>
        <w:rPr>
          <w:rFonts w:hint="eastAsia" w:ascii="宋体" w:hAnsi="宋体" w:eastAsia="宋体" w:cs="宋体"/>
          <w:b/>
          <w:bCs/>
          <w:color w:val="000000"/>
          <w:kern w:val="0"/>
          <w:sz w:val="24"/>
          <w:szCs w:val="24"/>
        </w:rPr>
        <w:t>电源主机新增模块技术要求</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（1）本次新增20KVA功率模块一个，与机房原有160KVA模块化UPS电源主机配套</w:t>
      </w:r>
      <w:r>
        <w:rPr>
          <w:rFonts w:hint="eastAsia" w:ascii="宋体" w:hAnsi="宋体" w:eastAsia="宋体" w:cs="宋体"/>
          <w:color w:val="333333"/>
          <w:sz w:val="24"/>
          <w:szCs w:val="24"/>
          <w:shd w:val="clear" w:color="auto" w:fill="FFFFFF"/>
          <w:lang w:eastAsia="zh-CN"/>
        </w:rPr>
        <w:t>。</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（2）功率模块应采用≥20kVA/20kW；模块必须满足在热拔插功能。</w:t>
      </w:r>
    </w:p>
    <w:p>
      <w:pPr>
        <w:widowControl/>
        <w:shd w:val="clear" w:color="auto" w:fill="FFFFFF"/>
        <w:spacing w:line="272" w:lineRule="atLeast"/>
        <w:ind w:firstLine="480"/>
        <w:jc w:val="left"/>
        <w:rPr>
          <w:rFonts w:hint="eastAsia" w:asciiTheme="minorEastAsia" w:hAnsiTheme="minorEastAsia"/>
        </w:rPr>
      </w:pPr>
    </w:p>
    <w:p>
      <w:pPr>
        <w:widowControl/>
        <w:shd w:val="clear" w:color="auto" w:fill="FFFFFF"/>
        <w:spacing w:line="272"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航天院区中心机房新增塔式UPS4</w:t>
      </w:r>
      <w:r>
        <w:rPr>
          <w:rFonts w:ascii="宋体" w:hAnsi="宋体" w:eastAsia="宋体" w:cs="宋体"/>
          <w:b/>
          <w:bCs/>
          <w:color w:val="000000"/>
          <w:kern w:val="0"/>
          <w:sz w:val="24"/>
          <w:szCs w:val="24"/>
        </w:rPr>
        <w:t>0KVA</w:t>
      </w:r>
      <w:r>
        <w:rPr>
          <w:rFonts w:hint="eastAsia" w:ascii="宋体" w:hAnsi="宋体" w:eastAsia="宋体" w:cs="宋体"/>
          <w:b/>
          <w:bCs/>
          <w:color w:val="000000"/>
          <w:kern w:val="0"/>
          <w:sz w:val="24"/>
          <w:szCs w:val="24"/>
        </w:rPr>
        <w:t>电源系统技术要求</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（1）主要技术指标</w:t>
      </w:r>
    </w:p>
    <w:tbl>
      <w:tblPr>
        <w:tblStyle w:val="4"/>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输入额定电压</w:t>
            </w:r>
          </w:p>
        </w:tc>
        <w:tc>
          <w:tcPr>
            <w:tcW w:w="6095" w:type="dxa"/>
          </w:tcPr>
          <w:p>
            <w:pPr>
              <w:ind w:firstLine="480"/>
              <w:rPr>
                <w:rFonts w:ascii="宋体" w:hAnsi="宋体"/>
                <w:szCs w:val="21"/>
              </w:rPr>
            </w:pPr>
            <w:r>
              <w:rPr>
                <w:rFonts w:ascii="宋体" w:hAnsi="宋体"/>
                <w:szCs w:val="21"/>
              </w:rPr>
              <w:t>380 Vac</w:t>
            </w:r>
            <w:r>
              <w:rPr>
                <w:rFonts w:hint="eastAsia" w:ascii="宋体" w:hAnsi="宋体"/>
                <w:szCs w:val="21"/>
              </w:rPr>
              <w:t xml:space="preserve"> /400</w:t>
            </w:r>
            <w:r>
              <w:rPr>
                <w:rFonts w:ascii="宋体" w:hAnsi="宋体"/>
                <w:szCs w:val="21"/>
              </w:rPr>
              <w:t xml:space="preserve"> Vac</w:t>
            </w:r>
            <w:r>
              <w:rPr>
                <w:rFonts w:hint="eastAsia" w:ascii="宋体" w:hAnsi="宋体"/>
                <w:szCs w:val="21"/>
              </w:rPr>
              <w:t xml:space="preserve"> /415</w:t>
            </w:r>
            <w:r>
              <w:rPr>
                <w:rFonts w:ascii="宋体" w:hAnsi="宋体"/>
                <w:szCs w:val="21"/>
              </w:rPr>
              <w:t>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输入电压可变范围</w:t>
            </w:r>
          </w:p>
        </w:tc>
        <w:tc>
          <w:tcPr>
            <w:tcW w:w="6095" w:type="dxa"/>
          </w:tcPr>
          <w:p>
            <w:pPr>
              <w:ind w:firstLine="480"/>
              <w:rPr>
                <w:rFonts w:ascii="宋体" w:hAnsi="宋体"/>
                <w:szCs w:val="21"/>
              </w:rPr>
            </w:pPr>
            <w:r>
              <w:rPr>
                <w:rFonts w:ascii="宋体" w:hAnsi="宋体" w:cs="Arial"/>
                <w:bCs/>
                <w:sz w:val="18"/>
                <w:szCs w:val="18"/>
              </w:rPr>
              <w:t>30</w:t>
            </w:r>
            <w:r>
              <w:rPr>
                <w:rFonts w:hint="eastAsia" w:ascii="宋体" w:hAnsi="宋体" w:cs="Arial"/>
                <w:bCs/>
                <w:sz w:val="18"/>
                <w:szCs w:val="18"/>
              </w:rPr>
              <w:t>4</w:t>
            </w:r>
            <w:r>
              <w:rPr>
                <w:rFonts w:hint="eastAsia" w:ascii="宋体" w:hAnsi="宋体"/>
                <w:szCs w:val="21"/>
              </w:rPr>
              <w:t>～</w:t>
            </w:r>
            <w:r>
              <w:rPr>
                <w:rFonts w:ascii="宋体" w:hAnsi="宋体" w:cs="Arial"/>
                <w:bCs/>
                <w:sz w:val="18"/>
                <w:szCs w:val="18"/>
              </w:rPr>
              <w:t>485Vac (不降额)；1</w:t>
            </w:r>
            <w:r>
              <w:rPr>
                <w:rFonts w:hint="eastAsia" w:ascii="宋体" w:hAnsi="宋体" w:cs="Arial"/>
                <w:bCs/>
                <w:sz w:val="18"/>
                <w:szCs w:val="18"/>
              </w:rPr>
              <w:t>38</w:t>
            </w:r>
            <w:r>
              <w:rPr>
                <w:rFonts w:hint="eastAsia" w:ascii="宋体" w:hAnsi="宋体"/>
                <w:szCs w:val="21"/>
              </w:rPr>
              <w:t>～</w:t>
            </w:r>
            <w:r>
              <w:rPr>
                <w:rFonts w:ascii="宋体" w:hAnsi="宋体" w:cs="Arial"/>
                <w:bCs/>
                <w:sz w:val="18"/>
                <w:szCs w:val="18"/>
              </w:rPr>
              <w:t>30</w:t>
            </w:r>
            <w:r>
              <w:rPr>
                <w:rFonts w:hint="eastAsia" w:ascii="宋体" w:hAnsi="宋体" w:cs="Arial"/>
                <w:bCs/>
                <w:sz w:val="18"/>
                <w:szCs w:val="18"/>
              </w:rPr>
              <w:t>4</w:t>
            </w:r>
            <w:r>
              <w:rPr>
                <w:rFonts w:ascii="宋体" w:hAnsi="宋体" w:cs="Arial"/>
                <w:bCs/>
                <w:sz w:val="18"/>
                <w:szCs w:val="18"/>
              </w:rPr>
              <w:t xml:space="preserve">Vac ( </w:t>
            </w:r>
            <w:r>
              <w:rPr>
                <w:rFonts w:hint="eastAsia" w:ascii="宋体" w:hAnsi="宋体" w:cs="Arial"/>
                <w:bCs/>
                <w:sz w:val="18"/>
                <w:szCs w:val="18"/>
              </w:rPr>
              <w:t>4</w:t>
            </w:r>
            <w:r>
              <w:rPr>
                <w:rFonts w:ascii="宋体" w:hAnsi="宋体" w:cs="Arial"/>
                <w:bCs/>
                <w:sz w:val="18"/>
                <w:szCs w:val="18"/>
              </w:rPr>
              <w:t>0%</w:t>
            </w:r>
            <w:r>
              <w:rPr>
                <w:rFonts w:hint="eastAsia" w:ascii="宋体" w:hAnsi="宋体"/>
                <w:szCs w:val="21"/>
              </w:rPr>
              <w:t>～</w:t>
            </w:r>
            <w:r>
              <w:rPr>
                <w:rFonts w:ascii="宋体" w:hAnsi="宋体" w:cs="Arial"/>
                <w:bCs/>
                <w:sz w:val="18"/>
                <w:szCs w:val="18"/>
              </w:rPr>
              <w:t>100%负载之间线性降额)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输入频率变化范围</w:t>
            </w:r>
          </w:p>
        </w:tc>
        <w:tc>
          <w:tcPr>
            <w:tcW w:w="6095" w:type="dxa"/>
          </w:tcPr>
          <w:p>
            <w:pPr>
              <w:ind w:firstLine="480"/>
              <w:rPr>
                <w:rFonts w:ascii="宋体" w:hAnsi="宋体"/>
                <w:szCs w:val="21"/>
              </w:rPr>
            </w:pPr>
            <w:r>
              <w:rPr>
                <w:rFonts w:hint="eastAsia" w:ascii="宋体" w:hAnsi="宋体"/>
                <w:szCs w:val="21"/>
              </w:rPr>
              <w:t>40～70Hz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输入功率因数</w:t>
            </w:r>
          </w:p>
        </w:tc>
        <w:tc>
          <w:tcPr>
            <w:tcW w:w="6095" w:type="dxa"/>
            <w:vAlign w:val="bottom"/>
          </w:tcPr>
          <w:p>
            <w:pPr>
              <w:ind w:firstLine="480"/>
              <w:rPr>
                <w:rFonts w:ascii="宋体" w:hAnsi="宋体"/>
                <w:szCs w:val="21"/>
              </w:rPr>
            </w:pPr>
            <w:r>
              <w:rPr>
                <w:rFonts w:hint="eastAsia" w:ascii="宋体" w:hAnsi="宋体"/>
                <w:szCs w:val="21"/>
              </w:rPr>
              <w:t>≥0.99</w:t>
            </w:r>
            <w:r>
              <w:rPr>
                <w:rFonts w:ascii="宋体" w:hAnsi="宋体"/>
                <w:szCs w:val="21"/>
              </w:rPr>
              <w:t>9(100%</w:t>
            </w:r>
            <w:r>
              <w:rPr>
                <w:rFonts w:hint="eastAsia" w:ascii="宋体" w:hAnsi="宋体"/>
                <w:szCs w:val="21"/>
              </w:rPr>
              <w:t>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输入电流谐波成份</w:t>
            </w:r>
          </w:p>
        </w:tc>
        <w:tc>
          <w:tcPr>
            <w:tcW w:w="6095" w:type="dxa"/>
            <w:vAlign w:val="bottom"/>
          </w:tcPr>
          <w:p>
            <w:pPr>
              <w:ind w:firstLine="480"/>
              <w:rPr>
                <w:rFonts w:ascii="宋体" w:hAnsi="宋体"/>
                <w:szCs w:val="21"/>
              </w:rPr>
            </w:pPr>
            <w:r>
              <w:rPr>
                <w:rFonts w:hint="eastAsia" w:ascii="宋体" w:hAnsi="宋体"/>
                <w:szCs w:val="21"/>
              </w:rPr>
              <w:t>≤3%</w:t>
            </w:r>
            <w:r>
              <w:rPr>
                <w:rFonts w:ascii="宋体" w:hAnsi="宋体"/>
                <w:szCs w:val="21"/>
              </w:rPr>
              <w:t>(100%</w:t>
            </w:r>
            <w:r>
              <w:rPr>
                <w:rFonts w:hint="eastAsia" w:ascii="宋体" w:hAnsi="宋体"/>
                <w:szCs w:val="21"/>
              </w:rPr>
              <w:t>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27" w:type="dxa"/>
            <w:vAlign w:val="center"/>
          </w:tcPr>
          <w:p>
            <w:pPr>
              <w:ind w:firstLine="480"/>
              <w:rPr>
                <w:rFonts w:ascii="宋体" w:hAnsi="宋体"/>
                <w:szCs w:val="21"/>
              </w:rPr>
            </w:pPr>
            <w:r>
              <w:rPr>
                <w:rFonts w:hint="eastAsia" w:ascii="宋体" w:hAnsi="宋体"/>
                <w:szCs w:val="21"/>
              </w:rPr>
              <w:t>旁路输入电压范围</w:t>
            </w:r>
          </w:p>
        </w:tc>
        <w:tc>
          <w:tcPr>
            <w:tcW w:w="6095" w:type="dxa"/>
          </w:tcPr>
          <w:p>
            <w:pPr>
              <w:tabs>
                <w:tab w:val="left" w:pos="3360"/>
              </w:tabs>
              <w:ind w:firstLine="480"/>
              <w:rPr>
                <w:rFonts w:ascii="宋体" w:hAnsi="宋体"/>
                <w:szCs w:val="21"/>
              </w:rPr>
            </w:pPr>
            <w:r>
              <w:rPr>
                <w:rFonts w:hint="eastAsia" w:ascii="宋体" w:hAnsi="宋体"/>
                <w:szCs w:val="21"/>
              </w:rPr>
              <w:t>-60%~ +20%（可设置）</w:t>
            </w:r>
            <w:r>
              <w:rPr>
                <w:rFonts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电池电压</w:t>
            </w:r>
          </w:p>
        </w:tc>
        <w:tc>
          <w:tcPr>
            <w:tcW w:w="6095" w:type="dxa"/>
            <w:vAlign w:val="center"/>
          </w:tcPr>
          <w:p>
            <w:pPr>
              <w:ind w:firstLine="480"/>
              <w:rPr>
                <w:rFonts w:ascii="宋体" w:hAnsi="宋体"/>
                <w:szCs w:val="21"/>
              </w:rPr>
            </w:pPr>
            <w:r>
              <w:rPr>
                <w:rFonts w:hint="eastAsia" w:ascii="宋体" w:hAnsi="宋体" w:cs="宋体"/>
                <w:sz w:val="18"/>
                <w:szCs w:val="18"/>
              </w:rPr>
              <w:t>±192VDC（±180</w:t>
            </w:r>
            <w:r>
              <w:rPr>
                <w:rFonts w:hint="eastAsia" w:ascii="宋体" w:hAnsi="宋体" w:cs="Arial"/>
                <w:bCs/>
                <w:sz w:val="18"/>
                <w:szCs w:val="18"/>
              </w:rPr>
              <w:t>VDC~</w:t>
            </w:r>
            <w:r>
              <w:rPr>
                <w:rFonts w:hint="eastAsia" w:ascii="宋体" w:hAnsi="宋体" w:cs="宋体"/>
                <w:sz w:val="18"/>
                <w:szCs w:val="18"/>
              </w:rPr>
              <w:t>±</w:t>
            </w:r>
            <w:r>
              <w:rPr>
                <w:rFonts w:hint="eastAsia" w:ascii="宋体" w:hAnsi="宋体" w:cs="Arial"/>
                <w:bCs/>
                <w:sz w:val="18"/>
                <w:szCs w:val="18"/>
              </w:rPr>
              <w:t>276VDC可设），12V电池</w:t>
            </w:r>
            <w:r>
              <w:rPr>
                <w:rFonts w:hint="eastAsia" w:ascii="宋体" w:hAnsi="宋体" w:cs="宋体"/>
                <w:sz w:val="18"/>
                <w:szCs w:val="18"/>
              </w:rPr>
              <w:t>32节（双数30</w:t>
            </w:r>
            <w:r>
              <w:rPr>
                <w:rFonts w:ascii="宋体" w:hAnsi="宋体" w:cs="Arial"/>
                <w:bCs/>
                <w:sz w:val="18"/>
                <w:szCs w:val="18"/>
              </w:rPr>
              <w:t>~</w:t>
            </w:r>
            <w:r>
              <w:rPr>
                <w:rFonts w:hint="eastAsia" w:ascii="宋体" w:hAnsi="宋体" w:cs="宋体"/>
                <w:sz w:val="18"/>
                <w:szCs w:val="18"/>
              </w:rPr>
              <w:t>4</w:t>
            </w:r>
            <w:r>
              <w:rPr>
                <w:rFonts w:ascii="宋体" w:hAnsi="宋体" w:cs="宋体"/>
                <w:sz w:val="18"/>
                <w:szCs w:val="18"/>
              </w:rPr>
              <w:t>4</w:t>
            </w:r>
            <w:r>
              <w:rPr>
                <w:rFonts w:hint="eastAsia" w:ascii="宋体" w:hAnsi="宋体" w:cs="宋体"/>
                <w:sz w:val="18"/>
                <w:szCs w:val="18"/>
              </w:rPr>
              <w:t>节可设）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27" w:type="dxa"/>
            <w:vAlign w:val="center"/>
          </w:tcPr>
          <w:p>
            <w:pPr>
              <w:ind w:firstLine="480"/>
              <w:rPr>
                <w:rFonts w:ascii="宋体" w:hAnsi="宋体"/>
                <w:szCs w:val="21"/>
              </w:rPr>
            </w:pPr>
            <w:r>
              <w:rPr>
                <w:rFonts w:hint="eastAsia" w:ascii="宋体" w:hAnsi="宋体"/>
                <w:szCs w:val="21"/>
              </w:rPr>
              <w:t>输出额定电压</w:t>
            </w:r>
          </w:p>
        </w:tc>
        <w:tc>
          <w:tcPr>
            <w:tcW w:w="6095" w:type="dxa"/>
            <w:vAlign w:val="center"/>
          </w:tcPr>
          <w:p>
            <w:pPr>
              <w:ind w:firstLine="480"/>
              <w:rPr>
                <w:rFonts w:ascii="宋体" w:hAnsi="宋体"/>
                <w:szCs w:val="21"/>
              </w:rPr>
            </w:pPr>
            <w:r>
              <w:rPr>
                <w:rFonts w:hint="eastAsia" w:ascii="宋体" w:hAnsi="宋体"/>
                <w:szCs w:val="21"/>
              </w:rPr>
              <w:t>380Vac/400Vac/415Vac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27" w:type="dxa"/>
            <w:vAlign w:val="center"/>
          </w:tcPr>
          <w:p>
            <w:pPr>
              <w:ind w:firstLine="480"/>
              <w:rPr>
                <w:rFonts w:ascii="宋体" w:hAnsi="宋体"/>
                <w:szCs w:val="21"/>
              </w:rPr>
            </w:pPr>
            <w:r>
              <w:rPr>
                <w:rFonts w:hint="eastAsia" w:ascii="宋体" w:hAnsi="宋体"/>
                <w:szCs w:val="21"/>
              </w:rPr>
              <w:t>输出电压稳压精度</w:t>
            </w:r>
          </w:p>
        </w:tc>
        <w:tc>
          <w:tcPr>
            <w:tcW w:w="6095" w:type="dxa"/>
            <w:vAlign w:val="center"/>
          </w:tcPr>
          <w:p>
            <w:pPr>
              <w:ind w:firstLine="480"/>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27" w:type="dxa"/>
            <w:vAlign w:val="center"/>
          </w:tcPr>
          <w:p>
            <w:pPr>
              <w:ind w:firstLine="480"/>
              <w:rPr>
                <w:rFonts w:ascii="宋体" w:hAnsi="宋体"/>
                <w:szCs w:val="21"/>
              </w:rPr>
            </w:pPr>
            <w:r>
              <w:rPr>
                <w:rFonts w:hint="eastAsia" w:ascii="宋体" w:hAnsi="宋体"/>
                <w:szCs w:val="21"/>
              </w:rPr>
              <w:t>输出频率精度</w:t>
            </w:r>
          </w:p>
        </w:tc>
        <w:tc>
          <w:tcPr>
            <w:tcW w:w="6095" w:type="dxa"/>
            <w:vAlign w:val="center"/>
          </w:tcPr>
          <w:p>
            <w:pPr>
              <w:ind w:firstLine="480"/>
              <w:rPr>
                <w:rFonts w:ascii="宋体" w:hAnsi="宋体"/>
                <w:szCs w:val="21"/>
              </w:rPr>
            </w:pPr>
            <w:r>
              <w:rPr>
                <w:rFonts w:hint="eastAsia" w:ascii="宋体" w:hAnsi="宋体"/>
                <w:szCs w:val="21"/>
              </w:rPr>
              <w:t>市电模式：同步状态下跟踪旁路输入；电池模式：50Hz/60Hz±0.1%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27" w:type="dxa"/>
            <w:vAlign w:val="center"/>
          </w:tcPr>
          <w:p>
            <w:pPr>
              <w:ind w:firstLine="480"/>
              <w:rPr>
                <w:rFonts w:ascii="宋体" w:hAnsi="宋体"/>
                <w:szCs w:val="21"/>
              </w:rPr>
            </w:pPr>
            <w:r>
              <w:rPr>
                <w:rFonts w:hint="eastAsia" w:ascii="宋体" w:hAnsi="宋体"/>
                <w:szCs w:val="21"/>
              </w:rPr>
              <w:t>输出功率因数</w:t>
            </w:r>
          </w:p>
        </w:tc>
        <w:tc>
          <w:tcPr>
            <w:tcW w:w="6095" w:type="dxa"/>
            <w:vAlign w:val="center"/>
          </w:tcPr>
          <w:p>
            <w:pPr>
              <w:ind w:firstLine="480"/>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127" w:type="dxa"/>
            <w:vAlign w:val="center"/>
          </w:tcPr>
          <w:p>
            <w:pPr>
              <w:ind w:firstLine="480"/>
              <w:rPr>
                <w:rFonts w:ascii="宋体" w:hAnsi="宋体"/>
                <w:szCs w:val="21"/>
              </w:rPr>
            </w:pPr>
            <w:r>
              <w:rPr>
                <w:rFonts w:hint="eastAsia" w:ascii="宋体" w:hAnsi="宋体"/>
                <w:szCs w:val="21"/>
              </w:rPr>
              <w:t>输出波形失真度</w:t>
            </w:r>
          </w:p>
        </w:tc>
        <w:tc>
          <w:tcPr>
            <w:tcW w:w="6095" w:type="dxa"/>
            <w:vAlign w:val="center"/>
          </w:tcPr>
          <w:p>
            <w:pPr>
              <w:ind w:firstLine="480"/>
              <w:rPr>
                <w:rFonts w:ascii="宋体" w:hAnsi="宋体"/>
                <w:szCs w:val="21"/>
              </w:rPr>
            </w:pPr>
            <w:r>
              <w:rPr>
                <w:rFonts w:hint="eastAsia" w:ascii="宋体" w:hAnsi="宋体"/>
                <w:szCs w:val="21"/>
              </w:rPr>
              <w:t>≤1%(线性负载）；≤3%（非线性负载）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127" w:type="dxa"/>
            <w:vAlign w:val="center"/>
          </w:tcPr>
          <w:p>
            <w:pPr>
              <w:ind w:firstLine="480"/>
              <w:rPr>
                <w:rFonts w:ascii="宋体" w:hAnsi="宋体"/>
                <w:szCs w:val="21"/>
              </w:rPr>
            </w:pPr>
            <w:r>
              <w:rPr>
                <w:rFonts w:hint="eastAsia" w:ascii="宋体" w:hAnsi="宋体"/>
                <w:szCs w:val="21"/>
              </w:rPr>
              <w:t>输出电流峰值系数</w:t>
            </w:r>
          </w:p>
        </w:tc>
        <w:tc>
          <w:tcPr>
            <w:tcW w:w="6095" w:type="dxa"/>
            <w:vAlign w:val="center"/>
          </w:tcPr>
          <w:p>
            <w:pPr>
              <w:ind w:firstLine="480"/>
              <w:rPr>
                <w:rFonts w:ascii="宋体" w:hAnsi="宋体"/>
                <w:szCs w:val="21"/>
              </w:rPr>
            </w:pPr>
            <w:r>
              <w:rPr>
                <w:rFonts w:hint="eastAsia" w:ascii="宋体" w:hAnsi="宋体"/>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127" w:type="dxa"/>
            <w:vAlign w:val="center"/>
          </w:tcPr>
          <w:p>
            <w:pPr>
              <w:ind w:firstLine="480"/>
              <w:rPr>
                <w:rFonts w:ascii="宋体" w:hAnsi="宋体"/>
                <w:szCs w:val="21"/>
              </w:rPr>
            </w:pPr>
            <w:r>
              <w:rPr>
                <w:rFonts w:hint="eastAsia" w:ascii="宋体" w:hAnsi="宋体"/>
                <w:szCs w:val="21"/>
              </w:rPr>
              <w:t>逆变过载能力</w:t>
            </w:r>
          </w:p>
        </w:tc>
        <w:tc>
          <w:tcPr>
            <w:tcW w:w="6095" w:type="dxa"/>
            <w:vAlign w:val="bottom"/>
          </w:tcPr>
          <w:p>
            <w:pPr>
              <w:ind w:firstLine="480"/>
              <w:jc w:val="center"/>
              <w:rPr>
                <w:rFonts w:ascii="宋体" w:hAnsi="宋体" w:cs="宋体"/>
                <w:sz w:val="18"/>
                <w:szCs w:val="18"/>
              </w:rPr>
            </w:pPr>
            <w:r>
              <w:rPr>
                <w:rFonts w:hint="eastAsia" w:ascii="宋体" w:hAnsi="宋体" w:cs="宋体"/>
                <w:sz w:val="18"/>
                <w:szCs w:val="18"/>
              </w:rPr>
              <w:t>105%＜负载≤110%，60分钟后转旁路；110%＜负载≤125%，10分钟后转旁路；</w:t>
            </w:r>
          </w:p>
          <w:p>
            <w:pPr>
              <w:widowControl/>
              <w:ind w:firstLine="480"/>
              <w:jc w:val="left"/>
              <w:rPr>
                <w:rFonts w:ascii="宋体" w:hAnsi="宋体"/>
                <w:szCs w:val="21"/>
              </w:rPr>
            </w:pPr>
            <w:r>
              <w:rPr>
                <w:rFonts w:hint="eastAsia" w:ascii="宋体" w:hAnsi="宋体" w:cs="宋体"/>
                <w:sz w:val="18"/>
                <w:szCs w:val="18"/>
              </w:rPr>
              <w:t>125%＜负载≤150%，1分钟后转旁路；负载＞150%，0.2秒后转旁路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系统效率</w:t>
            </w:r>
          </w:p>
        </w:tc>
        <w:tc>
          <w:tcPr>
            <w:tcW w:w="6095" w:type="dxa"/>
            <w:vAlign w:val="center"/>
          </w:tcPr>
          <w:p>
            <w:pPr>
              <w:ind w:firstLine="480"/>
              <w:rPr>
                <w:rFonts w:ascii="宋体" w:hAnsi="宋体"/>
                <w:szCs w:val="21"/>
              </w:rPr>
            </w:pPr>
            <w:r>
              <w:rPr>
                <w:rFonts w:hint="eastAsia" w:ascii="宋体" w:hAnsi="宋体" w:cs="宋体"/>
                <w:sz w:val="18"/>
                <w:szCs w:val="18"/>
              </w:rPr>
              <w:t>在线模式</w:t>
            </w:r>
            <w:r>
              <w:rPr>
                <w:rFonts w:hint="eastAsia" w:ascii="宋体" w:hAnsi="宋体"/>
                <w:szCs w:val="21"/>
              </w:rPr>
              <w:t>≥</w:t>
            </w:r>
            <w:r>
              <w:rPr>
                <w:rFonts w:hint="eastAsia" w:ascii="宋体" w:hAnsi="宋体" w:cs="宋体"/>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切换时间</w:t>
            </w:r>
          </w:p>
        </w:tc>
        <w:tc>
          <w:tcPr>
            <w:tcW w:w="6095" w:type="dxa"/>
            <w:vAlign w:val="center"/>
          </w:tcPr>
          <w:p>
            <w:pPr>
              <w:ind w:firstLine="480"/>
              <w:rPr>
                <w:rFonts w:ascii="宋体" w:hAnsi="宋体"/>
                <w:szCs w:val="21"/>
              </w:rPr>
            </w:pPr>
            <w:r>
              <w:rPr>
                <w:rFonts w:ascii="宋体" w:hAnsi="宋体"/>
                <w:szCs w:val="21"/>
              </w:rPr>
              <w:t>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并机数量</w:t>
            </w:r>
          </w:p>
        </w:tc>
        <w:tc>
          <w:tcPr>
            <w:tcW w:w="6095" w:type="dxa"/>
            <w:vAlign w:val="center"/>
          </w:tcPr>
          <w:p>
            <w:pPr>
              <w:ind w:firstLine="480"/>
              <w:rPr>
                <w:rFonts w:ascii="宋体" w:hAnsi="宋体"/>
                <w:szCs w:val="21"/>
              </w:rPr>
            </w:pPr>
            <w:r>
              <w:rPr>
                <w:rFonts w:hint="eastAsia" w:ascii="宋体" w:hAnsi="宋体"/>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运行温度</w:t>
            </w:r>
          </w:p>
        </w:tc>
        <w:tc>
          <w:tcPr>
            <w:tcW w:w="6095" w:type="dxa"/>
            <w:vAlign w:val="center"/>
          </w:tcPr>
          <w:p>
            <w:pPr>
              <w:ind w:firstLine="480"/>
              <w:rPr>
                <w:rFonts w:ascii="宋体" w:hAnsi="宋体"/>
                <w:szCs w:val="21"/>
              </w:rPr>
            </w:pPr>
            <w:r>
              <w:rPr>
                <w:rFonts w:hint="eastAsia" w:ascii="宋体" w:hAnsi="宋体"/>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ind w:firstLine="480"/>
              <w:rPr>
                <w:rFonts w:ascii="宋体" w:hAnsi="宋体"/>
                <w:szCs w:val="21"/>
              </w:rPr>
            </w:pPr>
            <w:r>
              <w:rPr>
                <w:rFonts w:hint="eastAsia" w:ascii="宋体" w:hAnsi="宋体"/>
                <w:szCs w:val="21"/>
              </w:rPr>
              <w:t>防护等级</w:t>
            </w:r>
          </w:p>
        </w:tc>
        <w:tc>
          <w:tcPr>
            <w:tcW w:w="6095" w:type="dxa"/>
            <w:vAlign w:val="center"/>
          </w:tcPr>
          <w:p>
            <w:pPr>
              <w:ind w:firstLine="480"/>
              <w:rPr>
                <w:rFonts w:ascii="宋体" w:hAnsi="宋体"/>
                <w:szCs w:val="21"/>
              </w:rPr>
            </w:pPr>
            <w:r>
              <w:rPr>
                <w:rFonts w:hint="eastAsia" w:ascii="宋体" w:hAnsi="宋体"/>
                <w:szCs w:val="21"/>
              </w:rPr>
              <w:t>IP20</w:t>
            </w:r>
          </w:p>
        </w:tc>
      </w:tr>
    </w:tbl>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（2）UPS主机结构采用模块化设计，支持两路不同的市电接入；采用先进的并联冗余技术，并联可靠性高环流小，支持并机数不少于4台，同时并机可以共用电池组</w:t>
      </w:r>
      <w:r>
        <w:rPr>
          <w:rFonts w:hint="eastAsia" w:ascii="宋体" w:hAnsi="宋体" w:eastAsia="宋体" w:cs="宋体"/>
          <w:color w:val="333333"/>
          <w:sz w:val="24"/>
          <w:szCs w:val="24"/>
          <w:shd w:val="clear" w:color="auto" w:fill="FFFFFF"/>
          <w:lang w:eastAsia="zh-CN"/>
        </w:rPr>
        <w:t>。</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（3）UPS主机应就有电池自检功能，可通过面板设置按时间/电压启动自检以及自检周期；具有自老化功能，测试现场不需要外接负载就可以带载测试</w:t>
      </w:r>
      <w:r>
        <w:rPr>
          <w:rFonts w:hint="eastAsia" w:ascii="宋体" w:hAnsi="宋体" w:eastAsia="宋体" w:cs="宋体"/>
          <w:color w:val="333333"/>
          <w:sz w:val="24"/>
          <w:szCs w:val="24"/>
          <w:shd w:val="clear" w:color="auto" w:fill="FFFFFF"/>
          <w:lang w:eastAsia="zh-CN"/>
        </w:rPr>
        <w:t>。</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4）UPS主机应采用触摸彩屏，可以显示详细的信息，输入电压/电流、输入频率、旁路电压、旁路频率、输出电压、输出电流、输出频率、有功功率、视在功率、负载率、电池电压、电池电流、电池剩余放电时间、电池剩余容量，电池备电时间，电池过保时间，主机过保时间等参数</w:t>
      </w:r>
      <w:r>
        <w:rPr>
          <w:rFonts w:hint="eastAsia" w:ascii="宋体" w:hAnsi="宋体" w:eastAsia="宋体" w:cs="宋体"/>
          <w:color w:val="333333"/>
          <w:sz w:val="24"/>
          <w:szCs w:val="24"/>
          <w:shd w:val="clear" w:color="auto" w:fill="FFFFFF"/>
          <w:lang w:eastAsia="zh-CN"/>
        </w:rPr>
        <w:t>。</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（5）UPS主机应具有密码保护功能，包括用户密码以及维护密码管控，避免人员随意操作；UPS主机同时能兼容铅酸电池和铁锂电池，以满足不同的应用场景</w:t>
      </w:r>
      <w:r>
        <w:rPr>
          <w:rFonts w:hint="eastAsia" w:ascii="宋体" w:hAnsi="宋体" w:eastAsia="宋体" w:cs="宋体"/>
          <w:color w:val="333333"/>
          <w:sz w:val="24"/>
          <w:szCs w:val="24"/>
          <w:shd w:val="clear" w:color="auto" w:fill="FFFFFF"/>
          <w:lang w:eastAsia="zh-CN"/>
        </w:rPr>
        <w:t>。</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（6）UPS主机具有输出短路保护、输出过载保护、过温保护、电池低压保护、输出过欠压保护和风扇故障保护功能，同时具备电池在线监测功能，电池断开或未连接时，UPS应及时提出告警</w:t>
      </w:r>
      <w:r>
        <w:rPr>
          <w:rFonts w:hint="eastAsia" w:ascii="宋体" w:hAnsi="宋体" w:eastAsia="宋体" w:cs="宋体"/>
          <w:color w:val="333333"/>
          <w:sz w:val="24"/>
          <w:szCs w:val="24"/>
          <w:shd w:val="clear" w:color="auto" w:fill="FFFFFF"/>
          <w:lang w:eastAsia="zh-CN"/>
        </w:rPr>
        <w:t>。</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（7）UPS主机应具有延时启动和输入限流功能，并通过面板设置</w:t>
      </w:r>
      <w:r>
        <w:rPr>
          <w:rFonts w:hint="eastAsia" w:ascii="宋体" w:hAnsi="宋体" w:eastAsia="宋体" w:cs="宋体"/>
          <w:color w:val="333333"/>
          <w:sz w:val="24"/>
          <w:szCs w:val="24"/>
          <w:shd w:val="clear" w:color="auto" w:fill="FFFFFF"/>
          <w:lang w:eastAsia="zh-CN"/>
        </w:rPr>
        <w:t>。</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（8）考虑机房占地面积，UPS主机的占地面积应小于0.5平方米；标配输入、旁路、输出、维修旁路开关，所有开关必须内置UPS机柜里面</w:t>
      </w:r>
      <w:r>
        <w:rPr>
          <w:rFonts w:hint="eastAsia" w:ascii="宋体" w:hAnsi="宋体" w:eastAsia="宋体" w:cs="宋体"/>
          <w:color w:val="333333"/>
          <w:sz w:val="24"/>
          <w:szCs w:val="24"/>
          <w:shd w:val="clear" w:color="auto" w:fill="FFFFFF"/>
          <w:lang w:eastAsia="zh-CN"/>
        </w:rPr>
        <w:t>。</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（9）UPS标配RS232、RS485、双智能卡槽、多路常开和常闭干接点等通讯接口，可实现远程网络监控，可通过手机APP和网页端查看UPS参数。</w:t>
      </w:r>
    </w:p>
    <w:p>
      <w:pPr>
        <w:widowControl/>
        <w:shd w:val="clear" w:color="auto" w:fill="FFFFFF"/>
        <w:spacing w:line="272" w:lineRule="atLeast"/>
        <w:ind w:firstLine="480"/>
        <w:jc w:val="left"/>
        <w:rPr>
          <w:rFonts w:hint="eastAsia" w:asciiTheme="minorEastAsia" w:hAnsiTheme="minorEastAsia"/>
        </w:rPr>
      </w:pPr>
    </w:p>
    <w:p>
      <w:pPr>
        <w:widowControl/>
        <w:shd w:val="clear" w:color="auto" w:fill="FFFFFF"/>
        <w:spacing w:line="272"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航天院区中心机房蓄电池技术要求</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（1）新增12V100AH免维护铅酸蓄电池128节，用于原有160KVA模块化UPS电源系统，同时新增电池柜两组，要求与原来的电池柜尺寸和外观一致；</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（2）将替换下来的64节12V100AH旧电池配套本次新增的40KVA UPS主机，同时新增配套电池柜两组；</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（3）蓄电池需采用内化成生产工艺，减少对环境污染。为降低蓄电池内阻与提高一致性，蓄电池需采用穿壁焊接技术。并采用热封盖壳，增加密封强度；</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（4）蓄电池槽、盖应采用高强度ABS材料制造，并具有阻燃性，正常工作条件下不出现鼓胀或收缩变形；</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（5）蓄电池正负极性及端子有明显标志，便于连接；</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（6）蓄电池连接件压降应低于5mV， 蓄电池在25℃满容量状态下，静置28天后其蓄电池容量保存率应在99.8%以上；</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（7）同组蓄电池充满电后静置3-6小时后，其开路电压压差不应超出25mV，蓄电池密封反应效率不低于99.7% ；</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（8）同组蓄电池在25℃环境中，每单只蓄电池以恒流I10作放电测试，其蓄电池组中的最大最小其容量差值应小于1.3% ；</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（9）蓄电池连接初电流为I10的电阻连续过放30d后，马上充电后容量应能保持在原容量的103%以上。</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p>
    <w:p>
      <w:pPr>
        <w:widowControl/>
        <w:shd w:val="clear" w:color="auto" w:fill="FFFFFF"/>
        <w:spacing w:line="272" w:lineRule="atLeast"/>
        <w:jc w:val="left"/>
        <w:rPr>
          <w:rFonts w:hint="eastAsia" w:ascii="宋体" w:hAnsi="宋体" w:eastAsia="宋体" w:cs="宋体"/>
          <w:color w:val="333333"/>
          <w:sz w:val="24"/>
          <w:szCs w:val="24"/>
          <w:shd w:val="clear" w:color="auto" w:fill="FFFFFF"/>
        </w:rPr>
      </w:pPr>
      <w:r>
        <w:rPr>
          <w:rFonts w:hint="eastAsia" w:ascii="宋体" w:hAnsi="宋体" w:eastAsia="宋体" w:cs="宋体"/>
          <w:b/>
          <w:bCs/>
          <w:color w:val="000000"/>
          <w:kern w:val="0"/>
          <w:sz w:val="24"/>
          <w:szCs w:val="24"/>
          <w:lang w:val="en-US" w:eastAsia="zh-CN"/>
        </w:rPr>
        <w:t>5、其他要求</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1</w:t>
      </w:r>
      <w:r>
        <w:rPr>
          <w:rFonts w:hint="eastAsia" w:ascii="宋体" w:hAnsi="宋体" w:eastAsia="宋体" w:cs="宋体"/>
          <w:color w:val="333333"/>
          <w:sz w:val="24"/>
          <w:szCs w:val="24"/>
          <w:shd w:val="clear" w:color="auto" w:fill="FFFFFF"/>
        </w:rPr>
        <w:t>）安装包括对蓄电池组承重支架底座、供电线路、地板、机房配电系统等的改造。</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2</w:t>
      </w:r>
      <w:r>
        <w:rPr>
          <w:rFonts w:hint="eastAsia" w:ascii="宋体" w:hAnsi="宋体" w:eastAsia="宋体" w:cs="宋体"/>
          <w:color w:val="333333"/>
          <w:sz w:val="24"/>
          <w:szCs w:val="24"/>
          <w:shd w:val="clear" w:color="auto" w:fill="FFFFFF"/>
        </w:rPr>
        <w:t>）配电改造过程中，应采取妥善方案保障机房现有生产业务不受影响或最低程度影响。</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3</w:t>
      </w:r>
      <w:r>
        <w:rPr>
          <w:rFonts w:hint="eastAsia" w:ascii="宋体" w:hAnsi="宋体" w:eastAsia="宋体" w:cs="宋体"/>
          <w:color w:val="333333"/>
          <w:sz w:val="24"/>
          <w:szCs w:val="24"/>
          <w:shd w:val="clear" w:color="auto" w:fill="FFFFFF"/>
        </w:rPr>
        <w:t>）中标后30天内完成备货和安装，安装完成后需进行工程资料移交及人员培训，经验收后进入保修期。</w:t>
      </w:r>
    </w:p>
    <w:p>
      <w:pPr>
        <w:widowControl/>
        <w:shd w:val="clear" w:color="auto" w:fill="FFFFFF"/>
        <w:spacing w:line="272" w:lineRule="atLeast"/>
        <w:ind w:firstLine="48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4</w:t>
      </w:r>
      <w:r>
        <w:rPr>
          <w:rFonts w:hint="eastAsia" w:ascii="宋体" w:hAnsi="宋体" w:eastAsia="宋体" w:cs="宋体"/>
          <w:color w:val="333333"/>
          <w:sz w:val="24"/>
          <w:szCs w:val="24"/>
          <w:shd w:val="clear" w:color="auto" w:fill="FFFFFF"/>
        </w:rPr>
        <w:t>）提供三年省内原厂售后服务，服务内容包括一年四次巡检，全包备件，7*24小时电话技术支持，故障维修现场响应时间为全天24小时，重大故障工程师4小时内到场。</w:t>
      </w:r>
    </w:p>
    <w:p>
      <w:pPr>
        <w:widowControl/>
        <w:shd w:val="clear" w:color="auto" w:fill="FFFFFF"/>
        <w:spacing w:line="272" w:lineRule="atLeast"/>
        <w:jc w:val="left"/>
        <w:rPr>
          <w:rFonts w:hint="eastAsia" w:ascii="宋体" w:hAnsi="宋体" w:eastAsia="宋体" w:cs="宋体"/>
          <w:color w:val="333333"/>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9D"/>
    <w:rsid w:val="00044999"/>
    <w:rsid w:val="00334131"/>
    <w:rsid w:val="004023D7"/>
    <w:rsid w:val="004A0B47"/>
    <w:rsid w:val="005212F4"/>
    <w:rsid w:val="005702BE"/>
    <w:rsid w:val="006023FA"/>
    <w:rsid w:val="007B7322"/>
    <w:rsid w:val="008241FE"/>
    <w:rsid w:val="00842C34"/>
    <w:rsid w:val="008A5D9D"/>
    <w:rsid w:val="0090300C"/>
    <w:rsid w:val="00BF68BE"/>
    <w:rsid w:val="00C87CB8"/>
    <w:rsid w:val="00E16F98"/>
    <w:rsid w:val="01211162"/>
    <w:rsid w:val="072E058B"/>
    <w:rsid w:val="078D609D"/>
    <w:rsid w:val="07A46515"/>
    <w:rsid w:val="0FD144C8"/>
    <w:rsid w:val="11205240"/>
    <w:rsid w:val="11DB562B"/>
    <w:rsid w:val="13AE4CB7"/>
    <w:rsid w:val="14C702FC"/>
    <w:rsid w:val="150953FA"/>
    <w:rsid w:val="162D7B84"/>
    <w:rsid w:val="173D5EBD"/>
    <w:rsid w:val="173F2707"/>
    <w:rsid w:val="1D38740A"/>
    <w:rsid w:val="1F7F1B6C"/>
    <w:rsid w:val="20AF563D"/>
    <w:rsid w:val="21DE5DB8"/>
    <w:rsid w:val="21E57E55"/>
    <w:rsid w:val="23811F20"/>
    <w:rsid w:val="24150339"/>
    <w:rsid w:val="261A430C"/>
    <w:rsid w:val="26B323F7"/>
    <w:rsid w:val="27FB1657"/>
    <w:rsid w:val="2FF11ED8"/>
    <w:rsid w:val="302E2C39"/>
    <w:rsid w:val="30AD4B2E"/>
    <w:rsid w:val="320B19EA"/>
    <w:rsid w:val="340A4F73"/>
    <w:rsid w:val="353D07A8"/>
    <w:rsid w:val="39E025CA"/>
    <w:rsid w:val="3B71461C"/>
    <w:rsid w:val="3D582806"/>
    <w:rsid w:val="3D6D49FD"/>
    <w:rsid w:val="3FB3605B"/>
    <w:rsid w:val="42CE475F"/>
    <w:rsid w:val="448D373E"/>
    <w:rsid w:val="45FF7177"/>
    <w:rsid w:val="47681036"/>
    <w:rsid w:val="47883A74"/>
    <w:rsid w:val="47FE669F"/>
    <w:rsid w:val="49D4337A"/>
    <w:rsid w:val="4A3F3856"/>
    <w:rsid w:val="4C1D6242"/>
    <w:rsid w:val="4CA43C07"/>
    <w:rsid w:val="4D257C18"/>
    <w:rsid w:val="4F591D7C"/>
    <w:rsid w:val="53204F0B"/>
    <w:rsid w:val="541F6A5B"/>
    <w:rsid w:val="54981404"/>
    <w:rsid w:val="58A44124"/>
    <w:rsid w:val="59F35310"/>
    <w:rsid w:val="5C294AE9"/>
    <w:rsid w:val="5C890CF3"/>
    <w:rsid w:val="5E247912"/>
    <w:rsid w:val="5EB93261"/>
    <w:rsid w:val="5F385FE3"/>
    <w:rsid w:val="600C01A1"/>
    <w:rsid w:val="62D262EF"/>
    <w:rsid w:val="64AB1959"/>
    <w:rsid w:val="65C047A4"/>
    <w:rsid w:val="683C54EC"/>
    <w:rsid w:val="6D2F5686"/>
    <w:rsid w:val="719B6135"/>
    <w:rsid w:val="71C66D6F"/>
    <w:rsid w:val="73722894"/>
    <w:rsid w:val="75A476F3"/>
    <w:rsid w:val="76B178B5"/>
    <w:rsid w:val="7D086878"/>
    <w:rsid w:val="7D5A23FD"/>
    <w:rsid w:val="7EB2505F"/>
    <w:rsid w:val="7F8A3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Table Paragraph"/>
    <w:basedOn w:val="1"/>
    <w:qFormat/>
    <w:uiPriority w:val="1"/>
    <w:rPr>
      <w:rFonts w:ascii="宋体" w:hAnsi="宋体" w:eastAsia="宋体" w:cs="宋体"/>
      <w:szCs w:val="24"/>
      <w:lang w:val="zh-CN" w:bidi="zh-CN"/>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1358</Words>
  <Characters>7742</Characters>
  <Lines>64</Lines>
  <Paragraphs>18</Paragraphs>
  <TotalTime>1</TotalTime>
  <ScaleCrop>false</ScaleCrop>
  <LinksUpToDate>false</LinksUpToDate>
  <CharactersWithSpaces>9082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2021-04-21T14:17:00Z</dcterms:created>
  <dc:creator>夏开旺</dc:creator>
  <cp:lastModifiedBy>DELL</cp:lastModifiedBy>
  <dcterms:modified xsi:type="dcterms:W3CDTF">2021-06-16T02:00:40Z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8735EE2DF4164E17B2E9EDEA2FD5FB2A</vt:lpwstr>
  </property>
</Properties>
</file>