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Times New Roman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48"/>
          <w:szCs w:val="48"/>
        </w:rPr>
        <w:t>成都市公共卫生临床医疗中心多媒体医疗导引系统管理平台（排队叫号系统）维保服务</w:t>
      </w:r>
      <w:r>
        <w:rPr>
          <w:rFonts w:hint="eastAsia" w:ascii="仿宋" w:hAnsi="仿宋" w:eastAsia="仿宋" w:cs="Times New Roman"/>
          <w:b/>
          <w:bCs/>
          <w:sz w:val="48"/>
          <w:szCs w:val="48"/>
          <w:lang w:val="en-US" w:eastAsia="zh-CN"/>
        </w:rPr>
        <w:t>内容</w:t>
      </w:r>
    </w:p>
    <w:p>
      <w:pPr>
        <w:pStyle w:val="3"/>
        <w:rPr>
          <w:rFonts w:hint="eastAsia" w:ascii="仿宋" w:hAnsi="仿宋" w:eastAsia="仿宋"/>
          <w:kern w:val="44"/>
          <w:sz w:val="24"/>
          <w:szCs w:val="44"/>
        </w:rPr>
      </w:pPr>
    </w:p>
    <w:p>
      <w:pPr>
        <w:pStyle w:val="3"/>
        <w:rPr>
          <w:rFonts w:ascii="仿宋" w:hAnsi="仿宋" w:eastAsia="仿宋"/>
          <w:b w:val="0"/>
          <w:bCs w:val="0"/>
          <w:kern w:val="44"/>
          <w:sz w:val="24"/>
          <w:szCs w:val="44"/>
        </w:rPr>
      </w:pPr>
      <w:r>
        <w:rPr>
          <w:rFonts w:hint="eastAsia" w:ascii="仿宋" w:hAnsi="仿宋" w:eastAsia="仿宋"/>
          <w:kern w:val="44"/>
          <w:sz w:val="24"/>
          <w:szCs w:val="44"/>
          <w:lang w:val="en-US" w:eastAsia="zh-CN"/>
        </w:rPr>
        <w:t>一</w:t>
      </w:r>
      <w:r>
        <w:rPr>
          <w:rFonts w:hint="eastAsia" w:ascii="仿宋" w:hAnsi="仿宋" w:eastAsia="仿宋"/>
          <w:kern w:val="44"/>
          <w:sz w:val="24"/>
          <w:szCs w:val="44"/>
        </w:rPr>
        <w:t>、维保服务体系</w:t>
      </w:r>
    </w:p>
    <w:p>
      <w:pPr>
        <w:snapToGrid w:val="0"/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1.服务方式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1.1备件服务：提供7</w:t>
      </w:r>
      <w:r>
        <w:rPr>
          <w:rFonts w:hint="eastAsia" w:ascii="仿宋" w:hAnsi="仿宋" w:eastAsia="仿宋"/>
          <w:sz w:val="24"/>
          <w:szCs w:val="24"/>
        </w:rPr>
        <w:t>×</w:t>
      </w:r>
      <w:r>
        <w:rPr>
          <w:rFonts w:hint="eastAsia" w:ascii="仿宋" w:hAnsi="仿宋" w:eastAsia="仿宋" w:cs="宋体"/>
          <w:sz w:val="24"/>
          <w:szCs w:val="24"/>
        </w:rPr>
        <w:t>24小时备件服务；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1.2远程服务：通过VPN网络接入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我院</w:t>
      </w:r>
      <w:r>
        <w:rPr>
          <w:rFonts w:hint="eastAsia" w:ascii="仿宋" w:hAnsi="仿宋" w:eastAsia="仿宋" w:cs="宋体"/>
          <w:sz w:val="24"/>
          <w:szCs w:val="24"/>
        </w:rPr>
        <w:t>进行远程协助的方式处理维保问题；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1.3现场服务：通过现场的方式直接进行故障的解决处理；</w:t>
      </w:r>
    </w:p>
    <w:p>
      <w:pPr>
        <w:pStyle w:val="7"/>
        <w:adjustRightInd w:val="0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  <w:lang w:val="en-GB"/>
        </w:rPr>
      </w:pPr>
      <w:r>
        <w:rPr>
          <w:rFonts w:hint="eastAsia" w:ascii="仿宋" w:hAnsi="仿宋" w:eastAsia="仿宋" w:cs="宋体"/>
          <w:sz w:val="24"/>
          <w:szCs w:val="24"/>
        </w:rPr>
        <w:t>1.4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在故障的处理过程中，优先选择最快速恢复业务的服务方式，及时对事件做出响应，缩短故障的解决时间；若远程方式无法有效解决故障，需及时通过现场服务方式进行故障的解决。</w:t>
      </w:r>
    </w:p>
    <w:p>
      <w:pPr>
        <w:snapToGrid w:val="0"/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2.服务时间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2.1提供7</w:t>
      </w:r>
      <w:r>
        <w:rPr>
          <w:rFonts w:hint="eastAsia" w:ascii="仿宋" w:hAnsi="仿宋" w:eastAsia="仿宋"/>
          <w:sz w:val="24"/>
          <w:szCs w:val="24"/>
        </w:rPr>
        <w:t>×</w:t>
      </w:r>
      <w:r>
        <w:rPr>
          <w:rFonts w:hint="eastAsia" w:ascii="仿宋" w:hAnsi="仿宋" w:eastAsia="仿宋" w:cs="宋体"/>
          <w:sz w:val="24"/>
          <w:szCs w:val="24"/>
        </w:rPr>
        <w:t>24小时服务台支持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2.2提供7</w:t>
      </w:r>
      <w:r>
        <w:rPr>
          <w:rFonts w:hint="eastAsia" w:ascii="仿宋" w:hAnsi="仿宋" w:eastAsia="仿宋"/>
          <w:sz w:val="24"/>
          <w:szCs w:val="24"/>
        </w:rPr>
        <w:t>×</w:t>
      </w:r>
      <w:r>
        <w:rPr>
          <w:rFonts w:hint="eastAsia" w:ascii="仿宋" w:hAnsi="仿宋" w:eastAsia="仿宋" w:cs="宋体"/>
          <w:sz w:val="24"/>
          <w:szCs w:val="24"/>
        </w:rPr>
        <w:t>24小时备件支持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  <w:lang w:val="en-AU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2.3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提供7</w:t>
      </w:r>
      <w:r>
        <w:rPr>
          <w:rFonts w:hint="eastAsia" w:ascii="仿宋" w:hAnsi="仿宋" w:eastAsia="仿宋"/>
          <w:sz w:val="24"/>
          <w:szCs w:val="24"/>
        </w:rPr>
        <w:t>×</w:t>
      </w:r>
      <w:r>
        <w:rPr>
          <w:rFonts w:hint="eastAsia" w:ascii="仿宋" w:hAnsi="仿宋" w:eastAsia="仿宋" w:cs="宋体"/>
          <w:bCs/>
          <w:sz w:val="24"/>
          <w:szCs w:val="24"/>
          <w:lang w:val="en-GB"/>
        </w:rPr>
        <w:t>24小时现场支持</w:t>
      </w:r>
    </w:p>
    <w:p>
      <w:pPr>
        <w:snapToGrid w:val="0"/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3.服务指标</w:t>
      </w:r>
    </w:p>
    <w:p>
      <w:pPr>
        <w:snapToGrid w:val="0"/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报名单位</w:t>
      </w:r>
      <w:r>
        <w:rPr>
          <w:rFonts w:hint="eastAsia" w:ascii="仿宋" w:hAnsi="仿宋" w:eastAsia="仿宋"/>
          <w:sz w:val="24"/>
        </w:rPr>
        <w:t>须提供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所有“产品清单”（详见本节“产品清单”）的备件支持（7×24小时），在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现场放置部分常用及重要备件，并针对业务提供高级别的支持。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4.具体服务内容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分类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具体服务内容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远程问题诊断与支持服务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可通过指定电话、邮件、网站提出服务请求，中标方远程服务工程师需及时与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沟通，通过电话支持/远程接入等远程方式对服务范围内的设备进行诊断及技术支持。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现场支持服务</w:t>
            </w:r>
          </w:p>
        </w:tc>
        <w:tc>
          <w:tcPr>
            <w:tcW w:w="6316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对于没有条件进行远程支持、或未能通过远程支持诊断解决的问题，中标方服务工程师在SLA约定时间内到客户现场进行问题的诊断、并负责硬件相关问题的排除。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备件支持服务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根据远程或现场诊断结果，如需更换备件来修复硬件问题，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在合同规定的服务时效内将备件送至现场并使用备件恢复业务。提供7*24小时备件支持服务。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紧急故障恢复服务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由于客观原因无法及时判断、定位故障的情况下，中标方服务工程师将在征求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的意见后，提供紧急故障恢复服务，利用应急预案或经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许可的技术方案进行应急处置，优先恢复业务。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辅助故障定位服务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在客户端如出现系统故障难以迅速准确定位的情况，中标方服务工程师提供辅助故障定位服务，通过协调、配合相关软硬件服务厂商共同对系统故障进行排查定位，避免因多方推委造成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我院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业务的损失。</w:t>
            </w:r>
          </w:p>
        </w:tc>
      </w:tr>
    </w:tbl>
    <w:p>
      <w:pPr>
        <w:snapToGrid w:val="0"/>
        <w:spacing w:line="500" w:lineRule="exact"/>
        <w:rPr>
          <w:rFonts w:ascii="仿宋" w:hAnsi="仿宋" w:eastAsia="仿宋"/>
          <w:b/>
          <w:sz w:val="24"/>
        </w:rPr>
      </w:pPr>
      <w:bookmarkStart w:id="0" w:name="_Toc455011969"/>
      <w:bookmarkStart w:id="1" w:name="_Toc455011630"/>
      <w:r>
        <w:rPr>
          <w:rFonts w:hint="eastAsia" w:ascii="仿宋" w:hAnsi="仿宋" w:eastAsia="仿宋"/>
          <w:b/>
          <w:sz w:val="24"/>
        </w:rPr>
        <w:t>5.运维服务</w:t>
      </w:r>
      <w:bookmarkEnd w:id="0"/>
      <w:bookmarkEnd w:id="1"/>
    </w:p>
    <w:p>
      <w:pPr>
        <w:snapToGrid w:val="0"/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5.1要求中标方提供从监控/巡检、预防性检查、日常运维到服务请求和事件响应、系统优化的全面支持。通过运维服务，为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基础架构的扩展提供实施和必要的支持工作。</w:t>
      </w:r>
    </w:p>
    <w:p>
      <w:pPr>
        <w:snapToGrid w:val="0"/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5.2同时通过专业的技术服务团队通过专业的可以落实的服务方案，高效规范的管理模式、管理流程和管理工具提升</w:t>
      </w:r>
      <w:r>
        <w:rPr>
          <w:rFonts w:hint="eastAsia" w:ascii="仿宋" w:hAnsi="仿宋" w:eastAsia="仿宋"/>
          <w:sz w:val="24"/>
          <w:lang w:eastAsia="zh-CN"/>
        </w:rPr>
        <w:t>我院</w:t>
      </w:r>
      <w:r>
        <w:rPr>
          <w:rFonts w:hint="eastAsia" w:ascii="仿宋" w:hAnsi="仿宋" w:eastAsia="仿宋"/>
          <w:sz w:val="24"/>
        </w:rPr>
        <w:t>的运维服务水平。</w:t>
      </w:r>
    </w:p>
    <w:p>
      <w:pPr>
        <w:snapToGrid w:val="0"/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6.服务方式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运维服务的形式采用按需响应式支持服务，主要采用以下两种方式提供：</w:t>
      </w:r>
    </w:p>
    <w:p>
      <w:pPr>
        <w:pStyle w:val="7"/>
        <w:snapToGrid w:val="0"/>
        <w:spacing w:line="500" w:lineRule="exact"/>
        <w:ind w:firstLine="0" w:firstLineChars="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6.1远程服务：通过VPN等手段进行远程监控和故障的解决处理；</w:t>
      </w:r>
    </w:p>
    <w:p>
      <w:pPr>
        <w:pStyle w:val="7"/>
        <w:snapToGrid w:val="0"/>
        <w:spacing w:line="500" w:lineRule="exact"/>
        <w:ind w:firstLine="0" w:firstLineChars="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6.2现场服务：通过现场的方式直接进行故障的解决处理；</w:t>
      </w:r>
    </w:p>
    <w:p>
      <w:pPr>
        <w:snapToGrid w:val="0"/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7.网络运维服务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992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位置</w:t>
            </w:r>
          </w:p>
        </w:tc>
        <w:tc>
          <w:tcPr>
            <w:tcW w:w="532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设备巡检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现场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bidi="ar"/>
              </w:rPr>
              <w:t>定期检查服务器端数据库冗余情况，及时排除问题；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bidi="ar"/>
              </w:rPr>
              <w:t>定期与相关科室应用人员沟通使用状况，排除隐患产生；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bidi="ar"/>
              </w:rPr>
              <w:t>维护设备终端以及其他外设设备；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bidi="ar"/>
              </w:rPr>
              <w:t>巡检时对相关使用人员进行日常维护培训。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故障排查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远程/现场</w:t>
            </w:r>
          </w:p>
        </w:tc>
        <w:tc>
          <w:tcPr>
            <w:tcW w:w="532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1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分析并处理网络设备（含网络安全设备）及网络链路发生的故障</w:t>
            </w:r>
          </w:p>
        </w:tc>
      </w:tr>
    </w:tbl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  <w:bookmarkStart w:id="2" w:name="_GoBack"/>
      <w:bookmarkEnd w:id="2"/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numPr>
          <w:ilvl w:val="0"/>
          <w:numId w:val="1"/>
        </w:numPr>
        <w:spacing w:after="160" w:line="259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产品清单</w:t>
      </w:r>
    </w:p>
    <w:tbl>
      <w:tblPr>
        <w:tblStyle w:val="5"/>
        <w:tblpPr w:leftFromText="180" w:rightFromText="180" w:vertAnchor="page" w:horzAnchor="page" w:tblpX="1904" w:tblpY="453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53"/>
        <w:gridCol w:w="1581"/>
        <w:gridCol w:w="601"/>
        <w:gridCol w:w="565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产品名称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型号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数量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网络液晶一体机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LED19-MSPAD-H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46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台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门口叫号屏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网络液晶一体机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LED55-MSTV-L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台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55寸落地式屏，用于交互式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炫彩之星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终端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H-BOX-H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台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配合大屏使用的机顶盒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多媒体医疗导引系统管理平台V2.0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V2.0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套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多媒体信息发布系统V7.2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V7.2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套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交互式管理系统V1.0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V1.0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套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HIS系统接口开发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S-HIS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套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widowControl w:val="0"/>
        <w:numPr>
          <w:numId w:val="0"/>
        </w:numPr>
        <w:tabs>
          <w:tab w:val="left" w:pos="312"/>
        </w:tabs>
        <w:spacing w:after="160" w:line="259" w:lineRule="auto"/>
        <w:jc w:val="both"/>
        <w:rPr>
          <w:rFonts w:ascii="仿宋" w:hAnsi="仿宋" w:eastAsia="仿宋"/>
          <w:b/>
          <w:sz w:val="24"/>
        </w:rPr>
      </w:pPr>
    </w:p>
    <w:p>
      <w:pPr>
        <w:pStyle w:val="2"/>
        <w:spacing w:line="240" w:lineRule="atLeast"/>
        <w:jc w:val="center"/>
        <w:rPr>
          <w:rFonts w:ascii="仿宋" w:hAnsi="仿宋" w:eastAsia="仿宋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585" w:firstLineChars="1992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59205"/>
    <w:multiLevelType w:val="singleLevel"/>
    <w:tmpl w:val="DCD5920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C4608"/>
    <w:rsid w:val="127C4608"/>
    <w:rsid w:val="320A5AE9"/>
    <w:rsid w:val="35A42C96"/>
    <w:rsid w:val="5A1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7">
    <w:name w:val="列出段落11"/>
    <w:basedOn w:val="1"/>
    <w:qFormat/>
    <w:uiPriority w:val="34"/>
    <w:pPr>
      <w:ind w:firstLine="420" w:firstLineChars="200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2022-02-08T07:21:00Z</dcterms:created>
  <dc:creator>在工作之余</dc:creator>
  <cp:lastModifiedBy>在工作之余</cp:lastModifiedBy>
  <dcterms:modified xsi:type="dcterms:W3CDTF">2022-02-08T07:28:03Z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D1C0541B343243B7B228A850229F62C2</vt:lpwstr>
  </property>
</Properties>
</file>