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血液透析系统维保服务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5896"/>
      <w:bookmarkStart w:id="3" w:name="_Toc489523834"/>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4）检查与医院HIS、LIS系统对接的接口运行情况。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5）对接四川省质控和国家质控平台，及时处理数据上传问题，保障业务正常运行。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6）与其他第三方系统对接接口（包括但不限于：HIS、LIS、PACS、CA签名、移动医护系统等</w:t>
      </w:r>
      <w:bookmarkStart w:id="7" w:name="_GoBack"/>
      <w:bookmarkEnd w:id="7"/>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p>
      <w:pPr>
        <w:pStyle w:val="7"/>
        <w:ind w:firstLine="480"/>
        <w:rPr>
          <w:rFonts w:hint="eastAsia" w:ascii="仿宋" w:hAnsi="仿宋" w:eastAsia="仿宋" w:cs="仿宋"/>
          <w:sz w:val="24"/>
        </w:rPr>
      </w:pPr>
      <w:r>
        <w:rPr>
          <w:rFonts w:hint="eastAsia" w:ascii="仿宋" w:hAnsi="仿宋" w:eastAsia="仿宋" w:cs="仿宋"/>
        </w:rPr>
        <w:t xml:space="preserve"> </w:t>
      </w:r>
    </w:p>
    <w:p>
      <w:pPr>
        <w:spacing w:line="360" w:lineRule="auto"/>
        <w:jc w:val="both"/>
        <w:outlineLvl w:val="0"/>
        <w:rPr>
          <w:rFonts w:hint="eastAsia" w:ascii="仿宋" w:hAnsi="仿宋" w:eastAsia="仿宋" w:cs="仿宋"/>
          <w:b/>
          <w:bCs/>
          <w:sz w:val="32"/>
        </w:rPr>
      </w:pPr>
      <w:bookmarkStart w:id="6" w:name="_Toc114235768"/>
      <w:r>
        <w:rPr>
          <w:rFonts w:hint="eastAsia" w:ascii="仿宋" w:hAnsi="仿宋" w:eastAsia="仿宋" w:cs="仿宋"/>
          <w:b/>
          <w:bCs/>
          <w:sz w:val="32"/>
        </w:rPr>
        <w:t>产品技术参数</w:t>
      </w:r>
      <w:bookmarkEnd w:id="6"/>
    </w:p>
    <w:p>
      <w:pPr>
        <w:spacing w:line="360" w:lineRule="auto"/>
        <w:rPr>
          <w:rFonts w:hint="eastAsia" w:ascii="仿宋" w:hAnsi="仿宋" w:eastAsia="仿宋" w:cs="仿宋"/>
          <w:sz w:val="24"/>
          <w:szCs w:val="24"/>
        </w:rPr>
      </w:pPr>
      <w:r>
        <w:rPr>
          <w:rFonts w:hint="eastAsia" w:ascii="仿宋" w:hAnsi="仿宋" w:eastAsia="仿宋" w:cs="仿宋"/>
          <w:sz w:val="24"/>
          <w:szCs w:val="24"/>
        </w:rPr>
        <w:t>1、系统维护功能模块清单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266"/>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模块名称</w:t>
            </w:r>
          </w:p>
        </w:tc>
        <w:tc>
          <w:tcPr>
            <w:tcW w:w="5015"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透析流程管理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流程概述、透前称量、制定处方、确认处方、透析上机、交叉核对、透中护理、透后护理、消毒。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2</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电子病历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病历首页、基本信息、诊断信息、血透通路、血透信息、化验信息、病程记录、透析处方、透析医嘱、转归、治疗分析。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3</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费用管理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患者列表、缴费单、费用报表。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4</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药品及耗材管理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耗材统计、出入库管理、药品统计。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5</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排床管理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智能排床、感染控制、排床显示、排床个性化设置、床位使用率。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6</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设备管理</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透析机管理、水处理管理、透析液、透析用水管理、环境管理。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7</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报表统计</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并发症信息统计、耗材用量信息统计、药品用量信息统计、透析例次统计、化验项统计、患者信息统计、通路类型统计、血透质量监测、患者转归统计、传染病阴转阳统计、消毒统计等。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8</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检验提醒</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定期透析患者各种检验信息查询并提供逾期提醒功能。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9</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接口设计</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HIS、LIS对接单向拉取患者的基本信息、化验信息，与主流数据库Oracle、MsSql、MySql实现数据对接。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10</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透析机联机</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已进行联机的透析机稳定采集参数。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11</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质控上报</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能够与全国质控上报中心系统进行对接，提供一键上报功能。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12</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移动医疗</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支持平板在床边记录患者治疗信息、下达医嘱、执行医嘱等。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13</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智能提醒</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对血透患者的透析中各类情况进行提醒，可设置不同提醒对象。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14</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健康宣教</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宣教库、患者宣教计划、宣教计划模板、宣教统计。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15</w:t>
            </w:r>
          </w:p>
        </w:tc>
        <w:tc>
          <w:tcPr>
            <w:tcW w:w="2266" w:type="dxa"/>
            <w:vAlign w:val="center"/>
          </w:tcPr>
          <w:p>
            <w:pPr>
              <w:pStyle w:val="3"/>
              <w:spacing w:before="0"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小工具</w:t>
            </w:r>
          </w:p>
        </w:tc>
        <w:tc>
          <w:tcPr>
            <w:tcW w:w="5015" w:type="dxa"/>
            <w:vAlign w:val="center"/>
          </w:tcPr>
          <w:p>
            <w:pPr>
              <w:pStyle w:val="3"/>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大屏通知、排床显示、打印功能、大屏宣教。</w:t>
            </w:r>
          </w:p>
        </w:tc>
      </w:tr>
    </w:tbl>
    <w:p>
      <w:pPr>
        <w:ind w:firstLine="420" w:firstLineChars="20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7CA07CF"/>
    <w:rsid w:val="172779EC"/>
    <w:rsid w:val="17EF49E0"/>
    <w:rsid w:val="54BF3451"/>
    <w:rsid w:val="5EB72009"/>
    <w:rsid w:val="5FA05042"/>
    <w:rsid w:val="7940170C"/>
    <w:rsid w:val="7D76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0</TotalTime>
  <ScaleCrop>false</ScaleCrop>
  <LinksUpToDate>false</LinksUpToDate>
  <CharactersWithSpaces>1690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2023-05-15T02:23:21Z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6E54760A94FF4F34A936033B19787530</vt:lpwstr>
  </property>
</Properties>
</file>