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340" w:after="330" w:line="578" w:lineRule="auto"/>
        <w:jc w:val="center"/>
        <w:outlineLvl w:val="0"/>
        <w:rPr>
          <w:rFonts w:ascii="仿宋" w:hAnsi="仿宋" w:eastAsia="仿宋" w:cs="Times New Roman"/>
          <w:b/>
          <w:bCs/>
          <w:kern w:val="44"/>
          <w:sz w:val="32"/>
          <w:szCs w:val="32"/>
        </w:rPr>
      </w:pPr>
      <w:r>
        <w:rPr>
          <w:rFonts w:hint="eastAsia" w:ascii="仿宋" w:hAnsi="仿宋" w:eastAsia="仿宋" w:cs="Times New Roman"/>
          <w:b/>
          <w:bCs/>
          <w:kern w:val="44"/>
          <w:sz w:val="32"/>
          <w:szCs w:val="32"/>
          <w:lang w:val="en-US" w:eastAsia="zh-CN"/>
        </w:rPr>
        <w:t>医院二期及烈性楼视频监控平台维保</w:t>
      </w:r>
      <w:r>
        <w:rPr>
          <w:rFonts w:hint="eastAsia" w:ascii="仿宋" w:hAnsi="仿宋" w:eastAsia="仿宋" w:cs="Times New Roman"/>
          <w:b/>
          <w:bCs/>
          <w:kern w:val="44"/>
          <w:sz w:val="32"/>
          <w:szCs w:val="32"/>
        </w:rPr>
        <w:t>服务要求</w:t>
      </w:r>
    </w:p>
    <w:p>
      <w:pPr>
        <w:spacing w:after="160" w:line="259" w:lineRule="auto"/>
        <w:rPr>
          <w:rFonts w:ascii="仿宋" w:hAnsi="仿宋" w:eastAsia="仿宋" w:cs="Times New Roman"/>
          <w:b/>
          <w:kern w:val="2"/>
          <w:sz w:val="24"/>
          <w:szCs w:val="24"/>
        </w:rPr>
      </w:pPr>
      <w:r>
        <w:rPr>
          <w:rFonts w:hint="eastAsia" w:ascii="仿宋" w:hAnsi="仿宋" w:eastAsia="仿宋" w:cs="Times New Roman"/>
          <w:b/>
          <w:kern w:val="2"/>
          <w:sz w:val="24"/>
          <w:szCs w:val="24"/>
        </w:rPr>
        <w:t>一、概述</w:t>
      </w:r>
    </w:p>
    <w:p>
      <w:pPr>
        <w:spacing w:line="360" w:lineRule="auto"/>
        <w:ind w:firstLine="480" w:firstLineChars="200"/>
        <w:rPr>
          <w:rFonts w:ascii="仿宋" w:hAnsi="仿宋" w:eastAsia="仿宋" w:cs="Times New Roman"/>
          <w:bCs/>
          <w:kern w:val="2"/>
          <w:sz w:val="24"/>
          <w:szCs w:val="24"/>
        </w:rPr>
      </w:pPr>
      <w:r>
        <w:rPr>
          <w:rFonts w:hint="eastAsia" w:ascii="仿宋" w:hAnsi="仿宋" w:eastAsia="仿宋" w:cs="Times New Roman"/>
          <w:bCs/>
          <w:kern w:val="2"/>
          <w:sz w:val="24"/>
          <w:szCs w:val="24"/>
        </w:rPr>
        <w:t>在新型冠状病毒感染的肺炎疫情爆发期间，我院为缓解现有医疗资源不足、进一步加大患者救治力度，将二期大楼和烈性楼改造建设为救治新冠患者的专属病区，对该病区的网络视频监控系统进行了建设，在病区的主要出入</w:t>
      </w:r>
      <w:bookmarkStart w:id="0" w:name="_GoBack"/>
      <w:bookmarkEnd w:id="0"/>
      <w:r>
        <w:rPr>
          <w:rFonts w:hint="eastAsia" w:ascii="仿宋" w:hAnsi="仿宋" w:eastAsia="仿宋" w:cs="Times New Roman"/>
          <w:bCs/>
          <w:kern w:val="2"/>
          <w:sz w:val="24"/>
          <w:szCs w:val="24"/>
        </w:rPr>
        <w:t>口、电梯间、医生办公室、护士站、病房内及医护人员专用通道和病人通道等进行24小时实时监控。当出现重大传染事件的时候，视频监控系统可以让一线的医生和护士异地观察病人的病情，最大限度的为其创造一个远离病源的工作环境，保证他们的身体健康，避免交叉感染，最大限度地保护医护人员的健康安全。</w:t>
      </w:r>
    </w:p>
    <w:p>
      <w:pPr>
        <w:spacing w:line="360" w:lineRule="auto"/>
        <w:ind w:firstLine="480" w:firstLineChars="200"/>
        <w:rPr>
          <w:rFonts w:ascii="仿宋" w:hAnsi="仿宋" w:eastAsia="仿宋" w:cs="Times New Roman"/>
          <w:bCs/>
          <w:kern w:val="2"/>
          <w:sz w:val="24"/>
          <w:szCs w:val="24"/>
        </w:rPr>
      </w:pPr>
      <w:r>
        <w:rPr>
          <w:rFonts w:hint="eastAsia" w:ascii="仿宋" w:hAnsi="仿宋" w:eastAsia="仿宋" w:cs="Times New Roman"/>
          <w:bCs/>
          <w:kern w:val="2"/>
          <w:sz w:val="24"/>
          <w:szCs w:val="24"/>
        </w:rPr>
        <w:t>我院二期及烈性楼现有的网络视频监控平台建设于2</w:t>
      </w:r>
      <w:r>
        <w:rPr>
          <w:rFonts w:ascii="仿宋" w:hAnsi="仿宋" w:eastAsia="仿宋" w:cs="Times New Roman"/>
          <w:bCs/>
          <w:kern w:val="2"/>
          <w:sz w:val="24"/>
          <w:szCs w:val="24"/>
        </w:rPr>
        <w:t>020</w:t>
      </w:r>
      <w:r>
        <w:rPr>
          <w:rFonts w:hint="eastAsia" w:ascii="仿宋" w:hAnsi="仿宋" w:eastAsia="仿宋" w:cs="Times New Roman"/>
          <w:bCs/>
          <w:kern w:val="2"/>
          <w:sz w:val="24"/>
          <w:szCs w:val="24"/>
        </w:rPr>
        <w:t>年，用于保障病区的主要出入口、电梯间、医生办公室、护士站、病房内及医护人员专用通道和病人通道的2</w:t>
      </w:r>
      <w:r>
        <w:rPr>
          <w:rFonts w:ascii="仿宋" w:hAnsi="仿宋" w:eastAsia="仿宋" w:cs="Times New Roman"/>
          <w:bCs/>
          <w:kern w:val="2"/>
          <w:sz w:val="24"/>
          <w:szCs w:val="24"/>
        </w:rPr>
        <w:t>4</w:t>
      </w:r>
      <w:r>
        <w:rPr>
          <w:rFonts w:hint="eastAsia" w:ascii="仿宋" w:hAnsi="仿宋" w:eastAsia="仿宋" w:cs="Times New Roman"/>
          <w:bCs/>
          <w:kern w:val="2"/>
          <w:sz w:val="24"/>
          <w:szCs w:val="24"/>
        </w:rPr>
        <w:t>小时实时监控，设备在线运行时间过长，设备稳定性逐渐减弱，监控管理平台设备日常维护工作量逐渐增大。</w:t>
      </w:r>
    </w:p>
    <w:p>
      <w:pPr>
        <w:spacing w:line="360" w:lineRule="auto"/>
        <w:ind w:firstLine="480" w:firstLineChars="200"/>
        <w:rPr>
          <w:rFonts w:ascii="仿宋" w:hAnsi="仿宋" w:eastAsia="仿宋" w:cs="Times New Roman"/>
          <w:bCs/>
          <w:kern w:val="2"/>
          <w:sz w:val="24"/>
          <w:szCs w:val="24"/>
        </w:rPr>
      </w:pPr>
    </w:p>
    <w:p>
      <w:pPr>
        <w:spacing w:after="160" w:line="259" w:lineRule="auto"/>
        <w:rPr>
          <w:rFonts w:ascii="仿宋" w:hAnsi="仿宋" w:eastAsia="仿宋" w:cs="Times New Roman"/>
          <w:b/>
          <w:kern w:val="2"/>
          <w:sz w:val="24"/>
          <w:szCs w:val="24"/>
        </w:rPr>
      </w:pPr>
      <w:r>
        <w:rPr>
          <w:rFonts w:hint="eastAsia" w:ascii="仿宋" w:hAnsi="仿宋" w:eastAsia="仿宋" w:cs="Times New Roman"/>
          <w:b/>
          <w:kern w:val="2"/>
          <w:sz w:val="24"/>
          <w:szCs w:val="24"/>
        </w:rPr>
        <w:t>二、维保服务内容</w:t>
      </w:r>
    </w:p>
    <w:p>
      <w:pPr>
        <w:spacing w:line="360" w:lineRule="auto"/>
        <w:ind w:firstLine="480" w:firstLineChars="200"/>
        <w:rPr>
          <w:rFonts w:ascii="仿宋" w:hAnsi="仿宋" w:eastAsia="仿宋" w:cs="Times New Roman"/>
          <w:bCs/>
          <w:kern w:val="2"/>
          <w:sz w:val="24"/>
          <w:szCs w:val="24"/>
        </w:rPr>
      </w:pPr>
      <w:r>
        <w:rPr>
          <w:rFonts w:hint="eastAsia" w:ascii="仿宋" w:hAnsi="仿宋" w:eastAsia="仿宋" w:cs="Times New Roman"/>
          <w:bCs/>
          <w:kern w:val="2"/>
          <w:sz w:val="24"/>
          <w:szCs w:val="24"/>
        </w:rPr>
        <w:t>2.1监控点位</w:t>
      </w:r>
    </w:p>
    <w:p>
      <w:pPr>
        <w:spacing w:line="360" w:lineRule="auto"/>
        <w:ind w:firstLine="480" w:firstLineChars="200"/>
        <w:rPr>
          <w:rFonts w:ascii="仿宋" w:hAnsi="仿宋" w:eastAsia="仿宋" w:cs="Times New Roman"/>
          <w:bCs/>
          <w:kern w:val="2"/>
          <w:sz w:val="24"/>
          <w:szCs w:val="24"/>
        </w:rPr>
      </w:pPr>
      <w:r>
        <w:rPr>
          <w:rFonts w:hint="eastAsia" w:ascii="仿宋" w:hAnsi="仿宋" w:eastAsia="仿宋" w:cs="Times New Roman"/>
          <w:bCs/>
          <w:kern w:val="2"/>
          <w:sz w:val="24"/>
          <w:szCs w:val="24"/>
        </w:rPr>
        <w:t>医院二期及烈性楼共涉及监控点位</w:t>
      </w:r>
      <w:r>
        <w:rPr>
          <w:rFonts w:ascii="仿宋" w:hAnsi="仿宋" w:eastAsia="仿宋" w:cs="Times New Roman"/>
          <w:bCs/>
          <w:kern w:val="2"/>
          <w:sz w:val="24"/>
          <w:szCs w:val="24"/>
        </w:rPr>
        <w:t>190</w:t>
      </w:r>
      <w:r>
        <w:rPr>
          <w:rFonts w:hint="eastAsia" w:ascii="仿宋" w:hAnsi="仿宋" w:eastAsia="仿宋" w:cs="Times New Roman"/>
          <w:bCs/>
          <w:kern w:val="2"/>
          <w:sz w:val="24"/>
          <w:szCs w:val="24"/>
        </w:rPr>
        <w:t>个，包括病区的主要出入口、电梯间、医生办公室、护士站、病房内及医护人员专用通道和病人通道等区域的监控点位；这些监控点位需要进行全天候监控，确保安全和运营的正常进行。</w:t>
      </w:r>
    </w:p>
    <w:p>
      <w:pPr>
        <w:spacing w:line="360" w:lineRule="auto"/>
        <w:ind w:firstLine="480" w:firstLineChars="200"/>
        <w:rPr>
          <w:rFonts w:ascii="仿宋" w:hAnsi="仿宋" w:eastAsia="仿宋" w:cs="Times New Roman"/>
          <w:bCs/>
          <w:kern w:val="2"/>
          <w:sz w:val="24"/>
          <w:szCs w:val="24"/>
        </w:rPr>
      </w:pPr>
      <w:r>
        <w:rPr>
          <w:rFonts w:hint="eastAsia" w:ascii="仿宋" w:hAnsi="仿宋" w:eastAsia="仿宋" w:cs="Times New Roman"/>
          <w:bCs/>
          <w:kern w:val="2"/>
          <w:sz w:val="24"/>
          <w:szCs w:val="24"/>
        </w:rPr>
        <w:t>2.2视频存储</w:t>
      </w:r>
    </w:p>
    <w:p>
      <w:pPr>
        <w:spacing w:line="360" w:lineRule="auto"/>
        <w:ind w:firstLine="480" w:firstLineChars="200"/>
        <w:rPr>
          <w:rFonts w:ascii="仿宋" w:hAnsi="仿宋" w:eastAsia="仿宋" w:cs="Times New Roman"/>
          <w:bCs/>
          <w:kern w:val="2"/>
          <w:sz w:val="24"/>
          <w:szCs w:val="24"/>
        </w:rPr>
      </w:pPr>
      <w:r>
        <w:rPr>
          <w:rFonts w:hint="eastAsia" w:ascii="仿宋" w:hAnsi="仿宋" w:eastAsia="仿宋" w:cs="Times New Roman"/>
          <w:bCs/>
          <w:kern w:val="2"/>
          <w:sz w:val="24"/>
          <w:szCs w:val="24"/>
        </w:rPr>
        <w:t>视频监控系统需要进行存储，以便回放和查询。为了保证视频存储的可靠性和安全性，需配置相应的冗余和备份机制。对于存储的容量，应根据监控点位数量、视频清晰度等情况进行合理规划，以确保存储时间不低于1</w:t>
      </w:r>
      <w:r>
        <w:rPr>
          <w:rFonts w:ascii="仿宋" w:hAnsi="仿宋" w:eastAsia="仿宋" w:cs="Times New Roman"/>
          <w:bCs/>
          <w:kern w:val="2"/>
          <w:sz w:val="24"/>
          <w:szCs w:val="24"/>
        </w:rPr>
        <w:t>5</w:t>
      </w:r>
      <w:r>
        <w:rPr>
          <w:rFonts w:hint="eastAsia" w:ascii="仿宋" w:hAnsi="仿宋" w:eastAsia="仿宋" w:cs="Times New Roman"/>
          <w:bCs/>
          <w:kern w:val="2"/>
          <w:sz w:val="24"/>
          <w:szCs w:val="24"/>
        </w:rPr>
        <w:t>天。</w:t>
      </w:r>
    </w:p>
    <w:p>
      <w:pPr>
        <w:spacing w:line="360" w:lineRule="auto"/>
        <w:ind w:firstLine="480" w:firstLineChars="200"/>
        <w:rPr>
          <w:rFonts w:ascii="仿宋" w:hAnsi="仿宋" w:eastAsia="仿宋" w:cs="Times New Roman"/>
          <w:bCs/>
          <w:kern w:val="2"/>
          <w:sz w:val="24"/>
          <w:szCs w:val="24"/>
        </w:rPr>
      </w:pPr>
      <w:r>
        <w:rPr>
          <w:rFonts w:hint="eastAsia" w:ascii="仿宋" w:hAnsi="仿宋" w:eastAsia="仿宋" w:cs="Times New Roman"/>
          <w:bCs/>
          <w:kern w:val="2"/>
          <w:sz w:val="24"/>
          <w:szCs w:val="24"/>
        </w:rPr>
        <w:t>2.3视频平台</w:t>
      </w:r>
    </w:p>
    <w:p>
      <w:pPr>
        <w:spacing w:line="360" w:lineRule="auto"/>
        <w:ind w:firstLine="480" w:firstLineChars="200"/>
        <w:rPr>
          <w:rFonts w:ascii="仿宋" w:hAnsi="仿宋" w:eastAsia="仿宋" w:cs="Times New Roman"/>
          <w:bCs/>
          <w:kern w:val="2"/>
          <w:sz w:val="24"/>
          <w:szCs w:val="24"/>
        </w:rPr>
      </w:pPr>
      <w:r>
        <w:rPr>
          <w:rFonts w:hint="eastAsia" w:ascii="仿宋" w:hAnsi="仿宋" w:eastAsia="仿宋" w:cs="Times New Roman"/>
          <w:bCs/>
          <w:kern w:val="2"/>
          <w:sz w:val="24"/>
          <w:szCs w:val="24"/>
        </w:rPr>
        <w:t>视频监控系统需要通过视频平台进行管理和操作，以确保监控的实时性和效率。满足视频平台多屏幕显示、视频联动、报警管理等功能，并能够自动化处理报警信息。此外，如遇视频平台需要与其他系统进行集成，要协调配合满足对接需求达到功能和效益。</w:t>
      </w:r>
    </w:p>
    <w:p>
      <w:pPr>
        <w:spacing w:line="360" w:lineRule="auto"/>
        <w:ind w:firstLine="480" w:firstLineChars="200"/>
        <w:rPr>
          <w:rFonts w:ascii="仿宋" w:hAnsi="仿宋" w:eastAsia="仿宋" w:cs="Times New Roman"/>
          <w:bCs/>
          <w:kern w:val="2"/>
          <w:sz w:val="24"/>
          <w:szCs w:val="24"/>
        </w:rPr>
      </w:pPr>
      <w:r>
        <w:rPr>
          <w:rFonts w:hint="eastAsia" w:ascii="仿宋" w:hAnsi="仿宋" w:eastAsia="仿宋" w:cs="Times New Roman"/>
          <w:bCs/>
          <w:kern w:val="2"/>
          <w:sz w:val="24"/>
          <w:szCs w:val="24"/>
        </w:rPr>
        <w:t>2</w:t>
      </w:r>
      <w:r>
        <w:rPr>
          <w:rFonts w:ascii="仿宋" w:hAnsi="仿宋" w:eastAsia="仿宋" w:cs="Times New Roman"/>
          <w:bCs/>
          <w:kern w:val="2"/>
          <w:sz w:val="24"/>
          <w:szCs w:val="24"/>
        </w:rPr>
        <w:t>.4</w:t>
      </w:r>
      <w:r>
        <w:rPr>
          <w:rFonts w:hint="eastAsia" w:ascii="仿宋" w:hAnsi="仿宋" w:eastAsia="仿宋" w:cs="Times New Roman"/>
          <w:bCs/>
          <w:kern w:val="2"/>
          <w:sz w:val="24"/>
          <w:szCs w:val="24"/>
        </w:rPr>
        <w:t>监控线路</w:t>
      </w:r>
    </w:p>
    <w:p>
      <w:pPr>
        <w:spacing w:line="360" w:lineRule="auto"/>
        <w:ind w:firstLine="480" w:firstLineChars="200"/>
        <w:rPr>
          <w:rFonts w:ascii="仿宋" w:hAnsi="仿宋" w:eastAsia="仿宋" w:cs="Times New Roman"/>
          <w:bCs/>
          <w:kern w:val="2"/>
          <w:sz w:val="24"/>
          <w:szCs w:val="24"/>
        </w:rPr>
      </w:pPr>
      <w:r>
        <w:rPr>
          <w:rFonts w:hint="eastAsia" w:ascii="仿宋" w:hAnsi="仿宋" w:eastAsia="仿宋" w:cs="Times New Roman"/>
          <w:bCs/>
          <w:kern w:val="2"/>
          <w:sz w:val="24"/>
          <w:szCs w:val="24"/>
        </w:rPr>
        <w:t>网络视频摄像机同交换机之间采用的六类网络双绞线进行数据传输，视频监控数据的采集需要保证传输链路的带宽以及抗干扰的稳定性。</w:t>
      </w:r>
    </w:p>
    <w:p>
      <w:pPr>
        <w:spacing w:line="360" w:lineRule="auto"/>
        <w:ind w:firstLine="480" w:firstLineChars="200"/>
        <w:rPr>
          <w:rFonts w:ascii="仿宋" w:hAnsi="仿宋" w:eastAsia="仿宋" w:cs="Times New Roman"/>
          <w:bCs/>
          <w:kern w:val="2"/>
          <w:sz w:val="24"/>
          <w:szCs w:val="24"/>
        </w:rPr>
      </w:pPr>
      <w:r>
        <w:rPr>
          <w:rFonts w:hint="eastAsia" w:ascii="仿宋" w:hAnsi="仿宋" w:eastAsia="仿宋" w:cs="Times New Roman"/>
          <w:bCs/>
          <w:kern w:val="2"/>
          <w:sz w:val="24"/>
          <w:szCs w:val="24"/>
        </w:rPr>
        <w:t>2</w:t>
      </w:r>
      <w:r>
        <w:rPr>
          <w:rFonts w:ascii="仿宋" w:hAnsi="仿宋" w:eastAsia="仿宋" w:cs="Times New Roman"/>
          <w:bCs/>
          <w:kern w:val="2"/>
          <w:sz w:val="24"/>
          <w:szCs w:val="24"/>
        </w:rPr>
        <w:t>.5</w:t>
      </w:r>
      <w:r>
        <w:rPr>
          <w:rFonts w:hint="eastAsia" w:ascii="仿宋" w:hAnsi="仿宋" w:eastAsia="仿宋" w:cs="Times New Roman"/>
          <w:bCs/>
          <w:kern w:val="2"/>
          <w:sz w:val="24"/>
          <w:szCs w:val="24"/>
        </w:rPr>
        <w:t>其他</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276"/>
        <w:gridCol w:w="6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4" w:type="dxa"/>
            <w:vAlign w:val="center"/>
          </w:tcPr>
          <w:p>
            <w:pPr>
              <w:widowControl/>
              <w:spacing w:line="360" w:lineRule="auto"/>
              <w:jc w:val="center"/>
              <w:rPr>
                <w:rFonts w:ascii="仿宋" w:hAnsi="仿宋" w:eastAsia="仿宋"/>
                <w:kern w:val="2"/>
                <w:sz w:val="24"/>
                <w:szCs w:val="24"/>
              </w:rPr>
            </w:pPr>
            <w:r>
              <w:rPr>
                <w:rFonts w:hint="eastAsia" w:ascii="仿宋" w:hAnsi="仿宋" w:eastAsia="仿宋"/>
                <w:kern w:val="2"/>
                <w:sz w:val="24"/>
                <w:szCs w:val="24"/>
              </w:rPr>
              <w:t>序号</w:t>
            </w:r>
          </w:p>
        </w:tc>
        <w:tc>
          <w:tcPr>
            <w:tcW w:w="1276" w:type="dxa"/>
            <w:vAlign w:val="center"/>
          </w:tcPr>
          <w:p>
            <w:pPr>
              <w:widowControl/>
              <w:spacing w:line="360" w:lineRule="auto"/>
              <w:jc w:val="center"/>
              <w:rPr>
                <w:rFonts w:ascii="仿宋" w:hAnsi="仿宋" w:eastAsia="仿宋"/>
                <w:kern w:val="2"/>
                <w:sz w:val="24"/>
                <w:szCs w:val="24"/>
              </w:rPr>
            </w:pPr>
            <w:r>
              <w:rPr>
                <w:rFonts w:hint="eastAsia" w:ascii="仿宋" w:hAnsi="仿宋" w:eastAsia="仿宋"/>
                <w:kern w:val="2"/>
                <w:sz w:val="24"/>
                <w:szCs w:val="24"/>
              </w:rPr>
              <w:t>分类</w:t>
            </w:r>
          </w:p>
        </w:tc>
        <w:tc>
          <w:tcPr>
            <w:tcW w:w="6316" w:type="dxa"/>
            <w:vAlign w:val="center"/>
          </w:tcPr>
          <w:p>
            <w:pPr>
              <w:widowControl/>
              <w:spacing w:line="360" w:lineRule="auto"/>
              <w:jc w:val="center"/>
              <w:rPr>
                <w:rFonts w:ascii="仿宋" w:hAnsi="仿宋" w:eastAsia="仿宋"/>
                <w:kern w:val="2"/>
                <w:sz w:val="24"/>
                <w:szCs w:val="24"/>
              </w:rPr>
            </w:pPr>
            <w:r>
              <w:rPr>
                <w:rFonts w:hint="eastAsia" w:ascii="仿宋" w:hAnsi="仿宋" w:eastAsia="仿宋"/>
                <w:kern w:val="2"/>
                <w:sz w:val="24"/>
                <w:szCs w:val="24"/>
              </w:rPr>
              <w:t>具体服务内容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4" w:type="dxa"/>
            <w:vAlign w:val="center"/>
          </w:tcPr>
          <w:p>
            <w:pPr>
              <w:widowControl/>
              <w:spacing w:line="360" w:lineRule="auto"/>
              <w:jc w:val="center"/>
              <w:rPr>
                <w:rFonts w:ascii="仿宋" w:hAnsi="仿宋" w:eastAsia="仿宋"/>
                <w:kern w:val="2"/>
                <w:sz w:val="24"/>
                <w:szCs w:val="24"/>
              </w:rPr>
            </w:pPr>
            <w:r>
              <w:rPr>
                <w:rFonts w:hint="eastAsia" w:ascii="仿宋" w:hAnsi="仿宋" w:eastAsia="仿宋"/>
                <w:kern w:val="2"/>
                <w:sz w:val="24"/>
                <w:szCs w:val="24"/>
              </w:rPr>
              <w:t>1</w:t>
            </w:r>
          </w:p>
        </w:tc>
        <w:tc>
          <w:tcPr>
            <w:tcW w:w="1276" w:type="dxa"/>
            <w:vAlign w:val="center"/>
          </w:tcPr>
          <w:p>
            <w:pPr>
              <w:widowControl/>
              <w:spacing w:line="360" w:lineRule="auto"/>
              <w:jc w:val="left"/>
              <w:rPr>
                <w:rFonts w:ascii="仿宋" w:hAnsi="仿宋" w:eastAsia="仿宋"/>
                <w:kern w:val="2"/>
                <w:sz w:val="24"/>
                <w:szCs w:val="24"/>
              </w:rPr>
            </w:pPr>
            <w:r>
              <w:rPr>
                <w:rFonts w:hint="eastAsia" w:ascii="仿宋" w:hAnsi="仿宋" w:eastAsia="仿宋"/>
                <w:kern w:val="2"/>
                <w:sz w:val="24"/>
                <w:szCs w:val="24"/>
              </w:rPr>
              <w:t>远程问题诊断与支持服务</w:t>
            </w:r>
          </w:p>
        </w:tc>
        <w:tc>
          <w:tcPr>
            <w:tcW w:w="6316" w:type="dxa"/>
            <w:vAlign w:val="center"/>
          </w:tcPr>
          <w:p>
            <w:pPr>
              <w:widowControl/>
              <w:spacing w:line="360" w:lineRule="auto"/>
              <w:jc w:val="left"/>
              <w:rPr>
                <w:rFonts w:ascii="仿宋" w:hAnsi="仿宋" w:eastAsia="仿宋"/>
                <w:kern w:val="2"/>
                <w:sz w:val="24"/>
                <w:szCs w:val="24"/>
              </w:rPr>
            </w:pPr>
            <w:r>
              <w:rPr>
                <w:rFonts w:hint="eastAsia" w:ascii="仿宋" w:hAnsi="仿宋" w:eastAsia="仿宋"/>
                <w:kern w:val="2"/>
                <w:sz w:val="24"/>
                <w:szCs w:val="24"/>
              </w:rPr>
              <w:t>院方可通过指定电话、邮件、网站提出服务请求，维保服务方远程服务工程师需及时与院方沟通，通过电话支持/远程接入等远程方式对服务范围内的设备进行诊断及技术支持。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4" w:type="dxa"/>
            <w:vAlign w:val="center"/>
          </w:tcPr>
          <w:p>
            <w:pPr>
              <w:widowControl/>
              <w:spacing w:line="360" w:lineRule="auto"/>
              <w:jc w:val="center"/>
              <w:rPr>
                <w:rFonts w:ascii="仿宋" w:hAnsi="仿宋" w:eastAsia="仿宋"/>
                <w:kern w:val="2"/>
                <w:sz w:val="24"/>
                <w:szCs w:val="24"/>
              </w:rPr>
            </w:pPr>
            <w:r>
              <w:rPr>
                <w:rFonts w:hint="eastAsia" w:ascii="仿宋" w:hAnsi="仿宋" w:eastAsia="仿宋"/>
                <w:kern w:val="2"/>
                <w:sz w:val="24"/>
                <w:szCs w:val="24"/>
              </w:rPr>
              <w:t>2</w:t>
            </w:r>
          </w:p>
        </w:tc>
        <w:tc>
          <w:tcPr>
            <w:tcW w:w="1276" w:type="dxa"/>
            <w:vAlign w:val="center"/>
          </w:tcPr>
          <w:p>
            <w:pPr>
              <w:widowControl/>
              <w:spacing w:line="360" w:lineRule="auto"/>
              <w:jc w:val="left"/>
              <w:rPr>
                <w:rFonts w:ascii="仿宋" w:hAnsi="仿宋" w:eastAsia="仿宋"/>
                <w:kern w:val="2"/>
                <w:sz w:val="24"/>
                <w:szCs w:val="24"/>
              </w:rPr>
            </w:pPr>
            <w:r>
              <w:rPr>
                <w:rFonts w:hint="eastAsia" w:ascii="仿宋" w:hAnsi="仿宋" w:eastAsia="仿宋"/>
                <w:kern w:val="2"/>
                <w:sz w:val="24"/>
                <w:szCs w:val="24"/>
              </w:rPr>
              <w:t>现场支持服务</w:t>
            </w:r>
          </w:p>
        </w:tc>
        <w:tc>
          <w:tcPr>
            <w:tcW w:w="6316" w:type="dxa"/>
            <w:vAlign w:val="center"/>
          </w:tcPr>
          <w:p>
            <w:pPr>
              <w:spacing w:line="360" w:lineRule="auto"/>
              <w:rPr>
                <w:rFonts w:ascii="仿宋" w:hAnsi="仿宋" w:eastAsia="仿宋"/>
                <w:kern w:val="2"/>
                <w:sz w:val="24"/>
                <w:szCs w:val="24"/>
              </w:rPr>
            </w:pPr>
            <w:r>
              <w:rPr>
                <w:rFonts w:hint="eastAsia" w:ascii="仿宋" w:hAnsi="仿宋" w:eastAsia="仿宋"/>
                <w:kern w:val="2"/>
                <w:sz w:val="24"/>
                <w:szCs w:val="24"/>
              </w:rPr>
              <w:t>对于没有条件进行远程支持、或未能通过远程支持诊断解决的问题，维保服务方服务工程师在SLA约定时间内到院方现场进行问题的诊断、并负责硬件相关问题的排除。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4" w:type="dxa"/>
            <w:vAlign w:val="center"/>
          </w:tcPr>
          <w:p>
            <w:pPr>
              <w:widowControl/>
              <w:spacing w:line="360" w:lineRule="auto"/>
              <w:jc w:val="center"/>
              <w:rPr>
                <w:rFonts w:ascii="仿宋" w:hAnsi="仿宋" w:eastAsia="仿宋"/>
                <w:kern w:val="2"/>
                <w:sz w:val="24"/>
                <w:szCs w:val="24"/>
              </w:rPr>
            </w:pPr>
            <w:r>
              <w:rPr>
                <w:rFonts w:hint="eastAsia" w:ascii="仿宋" w:hAnsi="仿宋" w:eastAsia="仿宋"/>
                <w:kern w:val="2"/>
                <w:sz w:val="24"/>
                <w:szCs w:val="24"/>
              </w:rPr>
              <w:t>3</w:t>
            </w:r>
          </w:p>
        </w:tc>
        <w:tc>
          <w:tcPr>
            <w:tcW w:w="1276" w:type="dxa"/>
            <w:vAlign w:val="center"/>
          </w:tcPr>
          <w:p>
            <w:pPr>
              <w:widowControl/>
              <w:spacing w:line="360" w:lineRule="auto"/>
              <w:jc w:val="left"/>
              <w:rPr>
                <w:rFonts w:ascii="仿宋" w:hAnsi="仿宋" w:eastAsia="仿宋"/>
                <w:kern w:val="2"/>
                <w:sz w:val="24"/>
                <w:szCs w:val="24"/>
              </w:rPr>
            </w:pPr>
            <w:r>
              <w:rPr>
                <w:rFonts w:hint="eastAsia" w:ascii="仿宋" w:hAnsi="仿宋" w:eastAsia="仿宋"/>
                <w:kern w:val="2"/>
                <w:sz w:val="24"/>
                <w:szCs w:val="24"/>
              </w:rPr>
              <w:t>备件支持服务</w:t>
            </w:r>
          </w:p>
        </w:tc>
        <w:tc>
          <w:tcPr>
            <w:tcW w:w="6316" w:type="dxa"/>
            <w:vAlign w:val="center"/>
          </w:tcPr>
          <w:p>
            <w:pPr>
              <w:widowControl/>
              <w:spacing w:line="360" w:lineRule="auto"/>
              <w:jc w:val="left"/>
              <w:rPr>
                <w:rFonts w:ascii="仿宋" w:hAnsi="仿宋" w:eastAsia="仿宋"/>
                <w:kern w:val="2"/>
                <w:sz w:val="24"/>
                <w:szCs w:val="24"/>
              </w:rPr>
            </w:pPr>
            <w:r>
              <w:rPr>
                <w:rFonts w:hint="eastAsia" w:ascii="仿宋" w:hAnsi="仿宋" w:eastAsia="仿宋"/>
                <w:kern w:val="2"/>
                <w:sz w:val="24"/>
                <w:szCs w:val="24"/>
              </w:rPr>
              <w:t>根据远程或现场诊断结果，如需更换备件来修复硬件问题，维保服务方在合同规定的服务时效内将备件送至现场并使用备件恢复业务。提供7*24小时备件，备机支持服务。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4" w:type="dxa"/>
            <w:vAlign w:val="center"/>
          </w:tcPr>
          <w:p>
            <w:pPr>
              <w:widowControl/>
              <w:spacing w:line="360" w:lineRule="auto"/>
              <w:jc w:val="center"/>
              <w:rPr>
                <w:rFonts w:ascii="仿宋" w:hAnsi="仿宋" w:eastAsia="仿宋"/>
                <w:kern w:val="2"/>
                <w:sz w:val="24"/>
                <w:szCs w:val="24"/>
              </w:rPr>
            </w:pPr>
            <w:r>
              <w:rPr>
                <w:rFonts w:hint="eastAsia" w:ascii="仿宋" w:hAnsi="仿宋" w:eastAsia="仿宋"/>
                <w:kern w:val="2"/>
                <w:sz w:val="24"/>
                <w:szCs w:val="24"/>
              </w:rPr>
              <w:t>4</w:t>
            </w:r>
          </w:p>
        </w:tc>
        <w:tc>
          <w:tcPr>
            <w:tcW w:w="1276" w:type="dxa"/>
            <w:vAlign w:val="center"/>
          </w:tcPr>
          <w:p>
            <w:pPr>
              <w:widowControl/>
              <w:spacing w:line="360" w:lineRule="auto"/>
              <w:jc w:val="left"/>
              <w:rPr>
                <w:rFonts w:ascii="仿宋" w:hAnsi="仿宋" w:eastAsia="仿宋"/>
                <w:kern w:val="2"/>
                <w:sz w:val="24"/>
                <w:szCs w:val="24"/>
              </w:rPr>
            </w:pPr>
            <w:r>
              <w:rPr>
                <w:rFonts w:hint="eastAsia" w:ascii="仿宋" w:hAnsi="仿宋" w:eastAsia="仿宋"/>
                <w:kern w:val="2"/>
                <w:sz w:val="24"/>
                <w:szCs w:val="24"/>
              </w:rPr>
              <w:t>紧急故障恢复服务</w:t>
            </w:r>
          </w:p>
        </w:tc>
        <w:tc>
          <w:tcPr>
            <w:tcW w:w="6316" w:type="dxa"/>
            <w:vAlign w:val="center"/>
          </w:tcPr>
          <w:p>
            <w:pPr>
              <w:widowControl/>
              <w:spacing w:line="360" w:lineRule="auto"/>
              <w:jc w:val="left"/>
              <w:rPr>
                <w:rFonts w:ascii="仿宋" w:hAnsi="仿宋" w:eastAsia="仿宋"/>
                <w:kern w:val="2"/>
                <w:sz w:val="24"/>
                <w:szCs w:val="24"/>
              </w:rPr>
            </w:pPr>
            <w:r>
              <w:rPr>
                <w:rFonts w:hint="eastAsia" w:ascii="仿宋" w:hAnsi="仿宋" w:eastAsia="仿宋"/>
                <w:kern w:val="2"/>
                <w:sz w:val="24"/>
                <w:szCs w:val="24"/>
              </w:rPr>
              <w:t>由于客观原因无法及时判断、定位故障的情况下，维保服务方服务工程师将在征求院方的意见后，提供紧急故障恢复服务，利用应急预案或经院方许可的技术方案进行应急处置，优先恢复业务。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4" w:type="dxa"/>
            <w:vAlign w:val="center"/>
          </w:tcPr>
          <w:p>
            <w:pPr>
              <w:widowControl/>
              <w:spacing w:line="360" w:lineRule="auto"/>
              <w:jc w:val="center"/>
              <w:rPr>
                <w:rFonts w:ascii="仿宋" w:hAnsi="仿宋" w:eastAsia="仿宋"/>
                <w:kern w:val="2"/>
                <w:sz w:val="24"/>
                <w:szCs w:val="24"/>
              </w:rPr>
            </w:pPr>
            <w:r>
              <w:rPr>
                <w:rFonts w:hint="eastAsia" w:ascii="仿宋" w:hAnsi="仿宋" w:eastAsia="仿宋"/>
                <w:kern w:val="2"/>
                <w:sz w:val="24"/>
                <w:szCs w:val="24"/>
              </w:rPr>
              <w:t>5</w:t>
            </w:r>
          </w:p>
        </w:tc>
        <w:tc>
          <w:tcPr>
            <w:tcW w:w="1276" w:type="dxa"/>
            <w:vAlign w:val="center"/>
          </w:tcPr>
          <w:p>
            <w:pPr>
              <w:widowControl/>
              <w:spacing w:line="360" w:lineRule="auto"/>
              <w:jc w:val="left"/>
              <w:rPr>
                <w:rFonts w:ascii="仿宋" w:hAnsi="仿宋" w:eastAsia="仿宋"/>
                <w:kern w:val="2"/>
                <w:sz w:val="24"/>
                <w:szCs w:val="24"/>
              </w:rPr>
            </w:pPr>
            <w:r>
              <w:rPr>
                <w:rFonts w:hint="eastAsia" w:ascii="仿宋" w:hAnsi="仿宋" w:eastAsia="仿宋"/>
                <w:kern w:val="2"/>
                <w:sz w:val="24"/>
                <w:szCs w:val="24"/>
              </w:rPr>
              <w:t>辅助故障定位服务</w:t>
            </w:r>
          </w:p>
        </w:tc>
        <w:tc>
          <w:tcPr>
            <w:tcW w:w="6316" w:type="dxa"/>
            <w:vAlign w:val="center"/>
          </w:tcPr>
          <w:p>
            <w:pPr>
              <w:widowControl/>
              <w:spacing w:line="360" w:lineRule="auto"/>
              <w:jc w:val="left"/>
              <w:rPr>
                <w:rFonts w:ascii="仿宋" w:hAnsi="仿宋" w:eastAsia="仿宋"/>
                <w:kern w:val="2"/>
                <w:sz w:val="24"/>
                <w:szCs w:val="24"/>
              </w:rPr>
            </w:pPr>
            <w:r>
              <w:rPr>
                <w:rFonts w:hint="eastAsia" w:ascii="仿宋" w:hAnsi="仿宋" w:eastAsia="仿宋"/>
                <w:kern w:val="2"/>
                <w:sz w:val="24"/>
                <w:szCs w:val="24"/>
              </w:rPr>
              <w:t>在客户端如出现系统故障难以迅速准确定位的情况，维保服务方服务工程师提供辅助故障定位服务，通过协调、配合相关软硬件服务厂商共同对系统故障进行排查定位，避免因多方推委造成院方业务的损失。</w:t>
            </w:r>
          </w:p>
        </w:tc>
      </w:tr>
    </w:tbl>
    <w:p>
      <w:pPr>
        <w:spacing w:line="360" w:lineRule="auto"/>
        <w:ind w:firstLine="480" w:firstLineChars="200"/>
        <w:rPr>
          <w:rFonts w:ascii="仿宋" w:hAnsi="仿宋" w:eastAsia="仿宋" w:cs="Times New Roman"/>
          <w:bCs/>
          <w:kern w:val="2"/>
          <w:sz w:val="24"/>
          <w:szCs w:val="24"/>
        </w:rPr>
      </w:pPr>
    </w:p>
    <w:p>
      <w:pPr>
        <w:spacing w:after="160" w:line="259" w:lineRule="auto"/>
        <w:rPr>
          <w:rFonts w:ascii="仿宋" w:hAnsi="仿宋" w:eastAsia="仿宋" w:cs="Times New Roman"/>
          <w:b/>
          <w:kern w:val="2"/>
          <w:sz w:val="24"/>
          <w:szCs w:val="24"/>
        </w:rPr>
      </w:pPr>
      <w:r>
        <w:rPr>
          <w:rFonts w:hint="eastAsia" w:ascii="仿宋" w:hAnsi="仿宋" w:eastAsia="仿宋" w:cs="Times New Roman"/>
          <w:b/>
          <w:kern w:val="2"/>
          <w:sz w:val="24"/>
          <w:szCs w:val="24"/>
        </w:rPr>
        <w:t>三、维保服务方式</w:t>
      </w:r>
    </w:p>
    <w:p>
      <w:pPr>
        <w:spacing w:line="360" w:lineRule="auto"/>
        <w:ind w:firstLine="480" w:firstLineChars="200"/>
        <w:rPr>
          <w:rFonts w:ascii="仿宋" w:hAnsi="仿宋" w:eastAsia="仿宋" w:cs="Times New Roman"/>
          <w:bCs/>
          <w:kern w:val="2"/>
          <w:sz w:val="24"/>
          <w:szCs w:val="24"/>
        </w:rPr>
      </w:pPr>
      <w:r>
        <w:rPr>
          <w:rFonts w:hint="eastAsia" w:ascii="仿宋" w:hAnsi="仿宋" w:eastAsia="仿宋" w:cs="Times New Roman"/>
          <w:bCs/>
          <w:kern w:val="2"/>
          <w:sz w:val="24"/>
          <w:szCs w:val="24"/>
        </w:rPr>
        <w:t>备件服务：提供7×24小时备件，备机支持服务。</w:t>
      </w:r>
    </w:p>
    <w:p>
      <w:pPr>
        <w:spacing w:line="360" w:lineRule="auto"/>
        <w:ind w:firstLine="480" w:firstLineChars="200"/>
        <w:rPr>
          <w:rFonts w:ascii="仿宋" w:hAnsi="仿宋" w:eastAsia="仿宋" w:cs="Times New Roman"/>
          <w:bCs/>
          <w:kern w:val="2"/>
          <w:sz w:val="24"/>
          <w:szCs w:val="24"/>
        </w:rPr>
      </w:pPr>
      <w:r>
        <w:rPr>
          <w:rFonts w:hint="eastAsia" w:ascii="仿宋" w:hAnsi="仿宋" w:eastAsia="仿宋" w:cs="Times New Roman"/>
          <w:bCs/>
          <w:kern w:val="2"/>
          <w:sz w:val="24"/>
          <w:szCs w:val="24"/>
        </w:rPr>
        <w:t>远程服务：通过VPN网络接入院方进行远程协助的方式处理维保问题。</w:t>
      </w:r>
    </w:p>
    <w:p>
      <w:pPr>
        <w:spacing w:line="360" w:lineRule="auto"/>
        <w:ind w:firstLine="480" w:firstLineChars="200"/>
        <w:rPr>
          <w:rFonts w:ascii="仿宋" w:hAnsi="仿宋" w:eastAsia="仿宋" w:cs="Times New Roman"/>
          <w:bCs/>
          <w:kern w:val="2"/>
          <w:sz w:val="24"/>
          <w:szCs w:val="24"/>
        </w:rPr>
      </w:pPr>
      <w:r>
        <w:rPr>
          <w:rFonts w:hint="eastAsia" w:ascii="仿宋" w:hAnsi="仿宋" w:eastAsia="仿宋" w:cs="Times New Roman"/>
          <w:bCs/>
          <w:kern w:val="2"/>
          <w:sz w:val="24"/>
          <w:szCs w:val="24"/>
        </w:rPr>
        <w:t>现场服务：通过现场的方式直接进行故障的解决处理。</w:t>
      </w:r>
    </w:p>
    <w:p>
      <w:pPr>
        <w:spacing w:line="360" w:lineRule="auto"/>
        <w:ind w:firstLine="480" w:firstLineChars="200"/>
        <w:rPr>
          <w:rFonts w:ascii="仿宋" w:hAnsi="仿宋" w:eastAsia="仿宋" w:cs="Times New Roman"/>
          <w:bCs/>
          <w:kern w:val="2"/>
          <w:sz w:val="24"/>
          <w:szCs w:val="24"/>
        </w:rPr>
      </w:pPr>
      <w:r>
        <w:rPr>
          <w:rFonts w:ascii="仿宋" w:hAnsi="仿宋" w:eastAsia="仿宋" w:cs="Times New Roman"/>
          <w:bCs/>
          <w:kern w:val="2"/>
          <w:sz w:val="24"/>
          <w:szCs w:val="24"/>
        </w:rPr>
        <w:t>3.1</w:t>
      </w:r>
      <w:r>
        <w:rPr>
          <w:rFonts w:hint="eastAsia" w:ascii="仿宋" w:hAnsi="仿宋" w:eastAsia="仿宋" w:cs="Times New Roman"/>
          <w:bCs/>
          <w:kern w:val="2"/>
          <w:sz w:val="24"/>
          <w:szCs w:val="24"/>
        </w:rPr>
        <w:t>在故障的处理过程中，优先选择最快速恢复业务的服务方式，及时对事件做出响应，缩短故障的解决时间；若远程方式无法有效解决故障，需及时通过现场服务方式进行故障的解决。</w:t>
      </w:r>
    </w:p>
    <w:p>
      <w:pPr>
        <w:spacing w:line="360" w:lineRule="auto"/>
        <w:ind w:firstLine="480" w:firstLineChars="200"/>
        <w:rPr>
          <w:rFonts w:ascii="仿宋" w:hAnsi="仿宋" w:eastAsia="仿宋" w:cs="Times New Roman"/>
          <w:bCs/>
          <w:kern w:val="2"/>
          <w:sz w:val="24"/>
          <w:szCs w:val="24"/>
        </w:rPr>
      </w:pPr>
      <w:r>
        <w:rPr>
          <w:rFonts w:ascii="仿宋" w:hAnsi="仿宋" w:eastAsia="仿宋" w:cs="Times New Roman"/>
          <w:bCs/>
          <w:kern w:val="2"/>
          <w:sz w:val="24"/>
          <w:szCs w:val="24"/>
        </w:rPr>
        <w:t>3.2</w:t>
      </w:r>
      <w:r>
        <w:rPr>
          <w:rFonts w:hint="eastAsia" w:ascii="仿宋" w:hAnsi="仿宋" w:eastAsia="仿宋" w:cs="Times New Roman"/>
          <w:bCs/>
          <w:kern w:val="2"/>
          <w:sz w:val="24"/>
          <w:szCs w:val="24"/>
        </w:rPr>
        <w:t>要求维保服务方提供从监控/巡检、预防性检查、日常运维到服务请求和事件响应、系统优化的全面支持。通过运维服务，为院方基础架构的扩展提供实施和必要的支持工作。</w:t>
      </w:r>
    </w:p>
    <w:p>
      <w:pPr>
        <w:spacing w:line="360" w:lineRule="auto"/>
        <w:ind w:firstLine="480" w:firstLineChars="200"/>
        <w:rPr>
          <w:rFonts w:ascii="仿宋" w:hAnsi="仿宋" w:eastAsia="仿宋" w:cs="Times New Roman"/>
          <w:bCs/>
          <w:kern w:val="2"/>
          <w:sz w:val="24"/>
          <w:szCs w:val="24"/>
        </w:rPr>
      </w:pPr>
      <w:r>
        <w:rPr>
          <w:rFonts w:ascii="仿宋" w:hAnsi="仿宋" w:eastAsia="仿宋" w:cs="Times New Roman"/>
          <w:bCs/>
          <w:kern w:val="2"/>
          <w:sz w:val="24"/>
          <w:szCs w:val="24"/>
        </w:rPr>
        <w:t>3.3</w:t>
      </w:r>
      <w:r>
        <w:rPr>
          <w:rFonts w:hint="eastAsia" w:ascii="仿宋" w:hAnsi="仿宋" w:eastAsia="仿宋" w:cs="Times New Roman"/>
          <w:bCs/>
          <w:kern w:val="2"/>
          <w:sz w:val="24"/>
          <w:szCs w:val="24"/>
        </w:rPr>
        <w:t>同时通过专业的技术服务团队通过专业的可以落实的服务方案，高效规范的管理模式、管理流程和管理工具提升院方的运维服务水平。</w:t>
      </w:r>
    </w:p>
    <w:p>
      <w:pPr>
        <w:spacing w:line="360" w:lineRule="auto"/>
        <w:ind w:firstLine="480" w:firstLineChars="200"/>
        <w:rPr>
          <w:rFonts w:ascii="仿宋" w:hAnsi="仿宋" w:eastAsia="仿宋" w:cs="Times New Roman"/>
          <w:bCs/>
          <w:kern w:val="2"/>
          <w:sz w:val="24"/>
          <w:szCs w:val="24"/>
        </w:rPr>
      </w:pPr>
    </w:p>
    <w:p>
      <w:pPr>
        <w:spacing w:after="160" w:line="259" w:lineRule="auto"/>
        <w:rPr>
          <w:rFonts w:ascii="仿宋" w:hAnsi="仿宋" w:eastAsia="仿宋" w:cs="Times New Roman"/>
          <w:b/>
          <w:kern w:val="2"/>
          <w:sz w:val="24"/>
          <w:szCs w:val="24"/>
        </w:rPr>
      </w:pPr>
      <w:r>
        <w:rPr>
          <w:rFonts w:hint="eastAsia" w:ascii="仿宋" w:hAnsi="仿宋" w:eastAsia="仿宋" w:cs="Times New Roman"/>
          <w:b/>
          <w:kern w:val="2"/>
          <w:sz w:val="24"/>
          <w:szCs w:val="24"/>
        </w:rPr>
        <w:t>四、维保服务指标</w:t>
      </w:r>
    </w:p>
    <w:p>
      <w:pPr>
        <w:spacing w:line="360" w:lineRule="auto"/>
        <w:ind w:firstLine="480" w:firstLineChars="200"/>
        <w:rPr>
          <w:rFonts w:ascii="仿宋" w:hAnsi="仿宋" w:eastAsia="仿宋" w:cs="Times New Roman"/>
          <w:bCs/>
          <w:kern w:val="2"/>
          <w:sz w:val="24"/>
          <w:szCs w:val="24"/>
        </w:rPr>
      </w:pPr>
      <w:r>
        <w:rPr>
          <w:rFonts w:hint="eastAsia" w:ascii="仿宋" w:hAnsi="仿宋" w:eastAsia="仿宋" w:cs="Times New Roman"/>
          <w:bCs/>
          <w:kern w:val="2"/>
          <w:sz w:val="24"/>
          <w:szCs w:val="24"/>
        </w:rPr>
        <w:t>在服务期内，服务商需要达到以下服务指标：</w:t>
      </w:r>
    </w:p>
    <w:p>
      <w:pPr>
        <w:spacing w:line="360" w:lineRule="auto"/>
        <w:ind w:firstLine="480" w:firstLineChars="200"/>
        <w:rPr>
          <w:rFonts w:ascii="仿宋" w:hAnsi="仿宋" w:eastAsia="仿宋" w:cs="Times New Roman"/>
          <w:bCs/>
          <w:kern w:val="2"/>
          <w:sz w:val="24"/>
          <w:szCs w:val="24"/>
        </w:rPr>
      </w:pPr>
      <w:r>
        <w:rPr>
          <w:rFonts w:hint="eastAsia" w:ascii="仿宋" w:hAnsi="仿宋" w:eastAsia="仿宋" w:cs="Times New Roman"/>
          <w:bCs/>
          <w:kern w:val="2"/>
          <w:sz w:val="24"/>
          <w:szCs w:val="24"/>
        </w:rPr>
        <w:t>响应时间指服务商收到客户报修请求后，到达现场解决问题的时间。</w:t>
      </w:r>
    </w:p>
    <w:p>
      <w:pPr>
        <w:spacing w:line="360" w:lineRule="auto"/>
        <w:ind w:firstLine="480" w:firstLineChars="200"/>
        <w:rPr>
          <w:rFonts w:ascii="仿宋" w:hAnsi="仿宋" w:eastAsia="仿宋" w:cs="Times New Roman"/>
          <w:bCs/>
          <w:kern w:val="2"/>
          <w:sz w:val="24"/>
          <w:szCs w:val="24"/>
        </w:rPr>
      </w:pPr>
      <w:r>
        <w:rPr>
          <w:rFonts w:hint="eastAsia" w:ascii="仿宋" w:hAnsi="仿宋" w:eastAsia="仿宋" w:cs="Times New Roman"/>
          <w:bCs/>
          <w:kern w:val="2"/>
          <w:sz w:val="24"/>
          <w:szCs w:val="24"/>
        </w:rPr>
        <w:t>4</w:t>
      </w:r>
      <w:r>
        <w:rPr>
          <w:rFonts w:ascii="仿宋" w:hAnsi="仿宋" w:eastAsia="仿宋" w:cs="Times New Roman"/>
          <w:bCs/>
          <w:kern w:val="2"/>
          <w:sz w:val="24"/>
          <w:szCs w:val="24"/>
        </w:rPr>
        <w:t>.1</w:t>
      </w:r>
      <w:r>
        <w:rPr>
          <w:rFonts w:hint="eastAsia" w:ascii="仿宋" w:hAnsi="仿宋" w:eastAsia="仿宋" w:cs="Times New Roman"/>
          <w:bCs/>
          <w:kern w:val="2"/>
          <w:sz w:val="24"/>
          <w:szCs w:val="24"/>
        </w:rPr>
        <w:t>维保响应时间：维保服务方应在15分钟内响应客户请求，并在1小时内派遣专业技术人员到现场进行处理。</w:t>
      </w:r>
    </w:p>
    <w:p>
      <w:pPr>
        <w:spacing w:line="360" w:lineRule="auto"/>
        <w:ind w:firstLine="480" w:firstLineChars="200"/>
        <w:rPr>
          <w:rFonts w:ascii="仿宋" w:hAnsi="仿宋" w:eastAsia="仿宋" w:cs="Times New Roman"/>
          <w:bCs/>
          <w:kern w:val="2"/>
          <w:sz w:val="24"/>
          <w:szCs w:val="24"/>
        </w:rPr>
      </w:pPr>
      <w:r>
        <w:rPr>
          <w:rFonts w:hint="eastAsia" w:ascii="仿宋" w:hAnsi="仿宋" w:eastAsia="仿宋" w:cs="Times New Roman"/>
          <w:bCs/>
          <w:kern w:val="2"/>
          <w:sz w:val="24"/>
          <w:szCs w:val="24"/>
        </w:rPr>
        <w:t>4</w:t>
      </w:r>
      <w:r>
        <w:rPr>
          <w:rFonts w:ascii="仿宋" w:hAnsi="仿宋" w:eastAsia="仿宋" w:cs="Times New Roman"/>
          <w:bCs/>
          <w:kern w:val="2"/>
          <w:sz w:val="24"/>
          <w:szCs w:val="24"/>
        </w:rPr>
        <w:t>.2</w:t>
      </w:r>
      <w:r>
        <w:rPr>
          <w:rFonts w:hint="eastAsia" w:ascii="仿宋" w:hAnsi="仿宋" w:eastAsia="仿宋" w:cs="Times New Roman"/>
          <w:bCs/>
          <w:kern w:val="2"/>
          <w:sz w:val="24"/>
          <w:szCs w:val="24"/>
        </w:rPr>
        <w:t>故障恢复时间：在故障发生后，维保服务方需要在2小时内解决问题。对于严重故障，维保服务方需要在1小时内解决问题。如需更长时间解决问题，服务商需要提供详细的解决方案和进度报告。</w:t>
      </w:r>
    </w:p>
    <w:p>
      <w:pPr>
        <w:spacing w:line="360" w:lineRule="auto"/>
        <w:ind w:firstLine="480" w:firstLineChars="200"/>
        <w:rPr>
          <w:rFonts w:ascii="仿宋" w:hAnsi="仿宋" w:eastAsia="仿宋" w:cs="Times New Roman"/>
          <w:bCs/>
          <w:kern w:val="2"/>
          <w:sz w:val="24"/>
          <w:szCs w:val="24"/>
        </w:rPr>
      </w:pPr>
      <w:r>
        <w:rPr>
          <w:rFonts w:hint="eastAsia" w:ascii="仿宋" w:hAnsi="仿宋" w:eastAsia="仿宋" w:cs="Times New Roman"/>
          <w:bCs/>
          <w:kern w:val="2"/>
          <w:sz w:val="24"/>
          <w:szCs w:val="24"/>
        </w:rPr>
        <w:t>4</w:t>
      </w:r>
      <w:r>
        <w:rPr>
          <w:rFonts w:ascii="仿宋" w:hAnsi="仿宋" w:eastAsia="仿宋" w:cs="Times New Roman"/>
          <w:bCs/>
          <w:kern w:val="2"/>
          <w:sz w:val="24"/>
          <w:szCs w:val="24"/>
        </w:rPr>
        <w:t>.3</w:t>
      </w:r>
      <w:r>
        <w:rPr>
          <w:rFonts w:hint="eastAsia" w:ascii="仿宋" w:hAnsi="仿宋" w:eastAsia="仿宋" w:cs="Times New Roman"/>
          <w:bCs/>
          <w:kern w:val="2"/>
          <w:sz w:val="24"/>
          <w:szCs w:val="24"/>
        </w:rPr>
        <w:t>系统可靠性：维保服务方需要保证监控系统的可用性，确保监控系统在服务期内的稳定运行，系统的可用性需达到97%以上。</w:t>
      </w:r>
    </w:p>
    <w:p>
      <w:pPr>
        <w:spacing w:line="360" w:lineRule="auto"/>
        <w:ind w:firstLine="480" w:firstLineChars="200"/>
        <w:rPr>
          <w:rFonts w:ascii="仿宋" w:hAnsi="仿宋" w:eastAsia="仿宋" w:cs="Times New Roman"/>
          <w:bCs/>
          <w:kern w:val="2"/>
          <w:sz w:val="24"/>
          <w:szCs w:val="24"/>
        </w:rPr>
      </w:pPr>
      <w:r>
        <w:rPr>
          <w:rFonts w:hint="eastAsia" w:ascii="仿宋" w:hAnsi="仿宋" w:eastAsia="仿宋" w:cs="Times New Roman"/>
          <w:bCs/>
          <w:kern w:val="2"/>
          <w:sz w:val="24"/>
          <w:szCs w:val="24"/>
        </w:rPr>
        <w:t>4</w:t>
      </w:r>
      <w:r>
        <w:rPr>
          <w:rFonts w:ascii="仿宋" w:hAnsi="仿宋" w:eastAsia="仿宋" w:cs="Times New Roman"/>
          <w:bCs/>
          <w:kern w:val="2"/>
          <w:sz w:val="24"/>
          <w:szCs w:val="24"/>
        </w:rPr>
        <w:t>.4</w:t>
      </w:r>
      <w:r>
        <w:rPr>
          <w:rFonts w:hint="eastAsia" w:ascii="仿宋" w:hAnsi="仿宋" w:eastAsia="仿宋" w:cs="Times New Roman"/>
          <w:bCs/>
          <w:kern w:val="2"/>
          <w:sz w:val="24"/>
          <w:szCs w:val="24"/>
        </w:rPr>
        <w:t>数据备份：维保服务方需要按照约定的备份计划进行数据备份，确保监控数据的完整性和可靠性。备份数据需要存储在指定的位置，并按照约定的时间进行数据恢复测试。</w:t>
      </w:r>
    </w:p>
    <w:p>
      <w:pPr>
        <w:spacing w:line="360" w:lineRule="auto"/>
        <w:ind w:firstLine="480" w:firstLineChars="200"/>
        <w:rPr>
          <w:rFonts w:ascii="仿宋" w:hAnsi="仿宋" w:eastAsia="仿宋" w:cs="Times New Roman"/>
          <w:bCs/>
          <w:kern w:val="2"/>
          <w:sz w:val="24"/>
          <w:szCs w:val="24"/>
        </w:rPr>
      </w:pPr>
      <w:r>
        <w:rPr>
          <w:rFonts w:hint="eastAsia" w:ascii="仿宋" w:hAnsi="仿宋" w:eastAsia="仿宋" w:cs="Times New Roman"/>
          <w:bCs/>
          <w:kern w:val="2"/>
          <w:sz w:val="24"/>
          <w:szCs w:val="24"/>
        </w:rPr>
        <w:t>4</w:t>
      </w:r>
      <w:r>
        <w:rPr>
          <w:rFonts w:ascii="仿宋" w:hAnsi="仿宋" w:eastAsia="仿宋" w:cs="Times New Roman"/>
          <w:bCs/>
          <w:kern w:val="2"/>
          <w:sz w:val="24"/>
          <w:szCs w:val="24"/>
        </w:rPr>
        <w:t>.5</w:t>
      </w:r>
      <w:r>
        <w:rPr>
          <w:rFonts w:hint="eastAsia" w:ascii="仿宋" w:hAnsi="仿宋" w:eastAsia="仿宋" w:cs="Times New Roman"/>
          <w:bCs/>
          <w:kern w:val="2"/>
          <w:sz w:val="24"/>
          <w:szCs w:val="24"/>
        </w:rPr>
        <w:t>安全性：维保服务方需要确保监控系统的安全性，防止系统受到未经授权的访问或攻击。维保服务方需要定期进行漏洞扫描和安全审计，及时修补漏洞和强化安全防护。</w:t>
      </w:r>
    </w:p>
    <w:p>
      <w:pPr>
        <w:spacing w:line="360" w:lineRule="auto"/>
        <w:ind w:firstLine="480" w:firstLineChars="200"/>
        <w:rPr>
          <w:rFonts w:ascii="仿宋" w:hAnsi="仿宋" w:eastAsia="仿宋" w:cs="Times New Roman"/>
          <w:bCs/>
          <w:kern w:val="2"/>
          <w:sz w:val="24"/>
          <w:szCs w:val="24"/>
        </w:rPr>
      </w:pPr>
      <w:r>
        <w:rPr>
          <w:rFonts w:hint="eastAsia" w:ascii="仿宋" w:hAnsi="仿宋" w:eastAsia="仿宋" w:cs="Times New Roman"/>
          <w:bCs/>
          <w:kern w:val="2"/>
          <w:sz w:val="24"/>
          <w:szCs w:val="24"/>
        </w:rPr>
        <w:t>4</w:t>
      </w:r>
      <w:r>
        <w:rPr>
          <w:rFonts w:ascii="仿宋" w:hAnsi="仿宋" w:eastAsia="仿宋" w:cs="Times New Roman"/>
          <w:bCs/>
          <w:kern w:val="2"/>
          <w:sz w:val="24"/>
          <w:szCs w:val="24"/>
        </w:rPr>
        <w:t>.6</w:t>
      </w:r>
      <w:r>
        <w:rPr>
          <w:rFonts w:hint="eastAsia" w:ascii="仿宋" w:hAnsi="仿宋" w:eastAsia="仿宋" w:cs="Times New Roman"/>
          <w:bCs/>
          <w:kern w:val="2"/>
          <w:sz w:val="24"/>
          <w:szCs w:val="24"/>
        </w:rPr>
        <w:t>维保报告：维保服务方应在维保工作完成后提交维护单，将本次检查内容进行阐述并交由我方签字确认。</w:t>
      </w:r>
    </w:p>
    <w:p>
      <w:pPr>
        <w:spacing w:line="360" w:lineRule="auto"/>
        <w:ind w:firstLine="480" w:firstLineChars="200"/>
        <w:rPr>
          <w:rFonts w:ascii="仿宋" w:hAnsi="仿宋" w:eastAsia="仿宋" w:cs="Times New Roman"/>
          <w:bCs/>
          <w:kern w:val="2"/>
          <w:sz w:val="24"/>
          <w:szCs w:val="24"/>
        </w:rPr>
      </w:pPr>
    </w:p>
    <w:p>
      <w:pPr>
        <w:spacing w:after="160" w:line="259" w:lineRule="auto"/>
        <w:rPr>
          <w:rFonts w:ascii="仿宋" w:hAnsi="仿宋" w:eastAsia="仿宋" w:cs="Times New Roman"/>
          <w:b/>
          <w:kern w:val="2"/>
          <w:sz w:val="24"/>
          <w:szCs w:val="24"/>
        </w:rPr>
      </w:pPr>
      <w:r>
        <w:rPr>
          <w:rFonts w:hint="eastAsia" w:ascii="仿宋" w:hAnsi="仿宋" w:eastAsia="仿宋" w:cs="Times New Roman"/>
          <w:b/>
          <w:kern w:val="2"/>
          <w:sz w:val="24"/>
          <w:szCs w:val="24"/>
        </w:rPr>
        <w:t>五、定期巡检服务</w:t>
      </w:r>
    </w:p>
    <w:p>
      <w:pPr>
        <w:spacing w:line="360" w:lineRule="auto"/>
        <w:ind w:firstLine="480" w:firstLineChars="200"/>
        <w:rPr>
          <w:rFonts w:ascii="仿宋" w:hAnsi="仿宋" w:eastAsia="仿宋" w:cs="Times New Roman"/>
          <w:bCs/>
          <w:kern w:val="2"/>
          <w:sz w:val="24"/>
          <w:szCs w:val="24"/>
        </w:rPr>
      </w:pPr>
      <w:r>
        <w:rPr>
          <w:rFonts w:hint="eastAsia" w:ascii="仿宋" w:hAnsi="仿宋" w:eastAsia="仿宋" w:cs="Times New Roman"/>
          <w:bCs/>
          <w:kern w:val="2"/>
          <w:sz w:val="24"/>
          <w:szCs w:val="24"/>
        </w:rPr>
        <w:t>定期巡检是维保服务的重要内容之一。维保服务方每季度至少满足1次定期巡检，检查监控设备是否正常运行，是否出现异常。巡检内容包括：</w:t>
      </w:r>
    </w:p>
    <w:p>
      <w:pPr>
        <w:spacing w:line="360" w:lineRule="auto"/>
        <w:ind w:firstLine="480" w:firstLineChars="200"/>
        <w:rPr>
          <w:rFonts w:ascii="仿宋" w:hAnsi="仿宋" w:eastAsia="仿宋" w:cs="Times New Roman"/>
          <w:bCs/>
          <w:kern w:val="2"/>
          <w:sz w:val="24"/>
          <w:szCs w:val="24"/>
        </w:rPr>
      </w:pPr>
      <w:r>
        <w:rPr>
          <w:rFonts w:hint="eastAsia" w:ascii="仿宋" w:hAnsi="仿宋" w:eastAsia="仿宋" w:cs="Times New Roman"/>
          <w:bCs/>
          <w:kern w:val="2"/>
          <w:sz w:val="24"/>
          <w:szCs w:val="24"/>
        </w:rPr>
        <w:t>摄像头：检查摄像头镜头是否清洁，是否有碰撞、移位、损坏等问题。</w:t>
      </w:r>
    </w:p>
    <w:p>
      <w:pPr>
        <w:spacing w:line="360" w:lineRule="auto"/>
        <w:ind w:firstLine="480" w:firstLineChars="200"/>
        <w:rPr>
          <w:rFonts w:ascii="仿宋" w:hAnsi="仿宋" w:eastAsia="仿宋" w:cs="Times New Roman"/>
          <w:bCs/>
          <w:kern w:val="2"/>
          <w:sz w:val="24"/>
          <w:szCs w:val="24"/>
        </w:rPr>
      </w:pPr>
      <w:r>
        <w:rPr>
          <w:rFonts w:hint="eastAsia" w:ascii="仿宋" w:hAnsi="仿宋" w:eastAsia="仿宋" w:cs="Times New Roman"/>
          <w:bCs/>
          <w:kern w:val="2"/>
          <w:sz w:val="24"/>
          <w:szCs w:val="24"/>
        </w:rPr>
        <w:t>存储设备：检查存储设备是否正常运行，是否出现故障，存储空间是否充足，存储设备是否需要清理等。</w:t>
      </w:r>
    </w:p>
    <w:p>
      <w:pPr>
        <w:spacing w:line="360" w:lineRule="auto"/>
        <w:ind w:firstLine="480" w:firstLineChars="200"/>
        <w:rPr>
          <w:rFonts w:ascii="仿宋" w:hAnsi="仿宋" w:eastAsia="仿宋" w:cs="Times New Roman"/>
          <w:bCs/>
          <w:kern w:val="2"/>
          <w:sz w:val="24"/>
          <w:szCs w:val="24"/>
        </w:rPr>
      </w:pPr>
      <w:r>
        <w:rPr>
          <w:rFonts w:hint="eastAsia" w:ascii="仿宋" w:hAnsi="仿宋" w:eastAsia="仿宋" w:cs="Times New Roman"/>
          <w:bCs/>
          <w:kern w:val="2"/>
          <w:sz w:val="24"/>
          <w:szCs w:val="24"/>
        </w:rPr>
        <w:t>服务器和网络设备：检查服务器和网络设备的运行状态、网络连接状态、网络带宽等，确保设备正常运行。</w:t>
      </w:r>
    </w:p>
    <w:p>
      <w:pPr>
        <w:spacing w:line="360" w:lineRule="auto"/>
        <w:ind w:firstLine="480" w:firstLineChars="200"/>
        <w:rPr>
          <w:rFonts w:ascii="仿宋" w:hAnsi="仿宋" w:eastAsia="仿宋" w:cs="Times New Roman"/>
          <w:bCs/>
          <w:kern w:val="2"/>
          <w:sz w:val="24"/>
          <w:szCs w:val="24"/>
        </w:rPr>
      </w:pPr>
      <w:r>
        <w:rPr>
          <w:rFonts w:hint="eastAsia" w:ascii="仿宋" w:hAnsi="仿宋" w:eastAsia="仿宋" w:cs="Times New Roman"/>
          <w:bCs/>
          <w:kern w:val="2"/>
          <w:sz w:val="24"/>
          <w:szCs w:val="24"/>
        </w:rPr>
        <w:t>视频平台：检查视频平台是否正常运行，是否存在故障，是否需要升级。</w:t>
      </w:r>
    </w:p>
    <w:p>
      <w:pPr>
        <w:spacing w:line="360" w:lineRule="auto"/>
        <w:ind w:firstLine="480" w:firstLineChars="200"/>
        <w:rPr>
          <w:rFonts w:ascii="仿宋" w:hAnsi="仿宋" w:eastAsia="仿宋" w:cs="Times New Roman"/>
          <w:bCs/>
          <w:kern w:val="2"/>
          <w:sz w:val="24"/>
          <w:szCs w:val="24"/>
        </w:rPr>
      </w:pPr>
      <w:r>
        <w:rPr>
          <w:rFonts w:hint="eastAsia" w:ascii="仿宋" w:hAnsi="仿宋" w:eastAsia="仿宋" w:cs="Times New Roman"/>
          <w:bCs/>
          <w:kern w:val="2"/>
          <w:sz w:val="24"/>
          <w:szCs w:val="24"/>
        </w:rPr>
        <w:t>维保服务方定期巡检后需要提供巡检报告，包括监控系统的使用情况、故障情况、备份情况、安全情况等。</w:t>
      </w:r>
    </w:p>
    <w:p>
      <w:pPr>
        <w:spacing w:line="360" w:lineRule="auto"/>
        <w:ind w:firstLine="480" w:firstLineChars="200"/>
        <w:rPr>
          <w:rFonts w:ascii="仿宋" w:hAnsi="仿宋" w:eastAsia="仿宋" w:cs="Times New Roman"/>
          <w:bCs/>
          <w:kern w:val="2"/>
          <w:sz w:val="24"/>
          <w:szCs w:val="24"/>
        </w:rPr>
      </w:pPr>
    </w:p>
    <w:p>
      <w:pPr>
        <w:spacing w:after="160" w:line="259" w:lineRule="auto"/>
        <w:rPr>
          <w:rFonts w:ascii="仿宋" w:hAnsi="仿宋" w:eastAsia="仿宋" w:cs="Times New Roman"/>
          <w:b/>
          <w:kern w:val="2"/>
          <w:sz w:val="24"/>
          <w:szCs w:val="24"/>
        </w:rPr>
      </w:pPr>
      <w:r>
        <w:rPr>
          <w:rFonts w:hint="eastAsia" w:ascii="仿宋" w:hAnsi="仿宋" w:eastAsia="仿宋" w:cs="Times New Roman"/>
          <w:b/>
          <w:kern w:val="2"/>
          <w:sz w:val="24"/>
          <w:szCs w:val="24"/>
        </w:rPr>
        <w:t>六、维保服务能力要求</w:t>
      </w:r>
    </w:p>
    <w:p>
      <w:pPr>
        <w:spacing w:line="360" w:lineRule="auto"/>
        <w:ind w:firstLine="480" w:firstLineChars="200"/>
        <w:rPr>
          <w:rFonts w:ascii="仿宋" w:hAnsi="仿宋" w:eastAsia="仿宋" w:cs="Times New Roman"/>
          <w:bCs/>
          <w:kern w:val="2"/>
          <w:sz w:val="24"/>
          <w:szCs w:val="24"/>
        </w:rPr>
      </w:pPr>
      <w:r>
        <w:rPr>
          <w:rFonts w:ascii="仿宋" w:hAnsi="仿宋" w:eastAsia="仿宋" w:cs="Times New Roman"/>
          <w:bCs/>
          <w:kern w:val="2"/>
          <w:sz w:val="24"/>
          <w:szCs w:val="24"/>
        </w:rPr>
        <w:t>6</w:t>
      </w:r>
      <w:r>
        <w:rPr>
          <w:rFonts w:hint="eastAsia" w:ascii="仿宋" w:hAnsi="仿宋" w:eastAsia="仿宋" w:cs="Times New Roman"/>
          <w:bCs/>
          <w:kern w:val="2"/>
          <w:sz w:val="24"/>
          <w:szCs w:val="24"/>
        </w:rPr>
        <w:t>.1服务水平</w:t>
      </w:r>
    </w:p>
    <w:p>
      <w:pPr>
        <w:spacing w:line="360" w:lineRule="auto"/>
        <w:ind w:firstLine="480" w:firstLineChars="200"/>
        <w:rPr>
          <w:rFonts w:ascii="仿宋" w:hAnsi="仿宋" w:eastAsia="仿宋" w:cs="Times New Roman"/>
          <w:bCs/>
          <w:kern w:val="2"/>
          <w:sz w:val="24"/>
          <w:szCs w:val="24"/>
        </w:rPr>
      </w:pPr>
      <w:r>
        <w:rPr>
          <w:rFonts w:hint="eastAsia" w:ascii="仿宋" w:hAnsi="仿宋" w:eastAsia="仿宋" w:cs="Times New Roman"/>
          <w:bCs/>
          <w:kern w:val="2"/>
          <w:sz w:val="24"/>
          <w:szCs w:val="24"/>
        </w:rPr>
        <w:t>服务水平指维保服务方在维保过程中的表现，包括服务态度、服务质量、服务时效等方面。维保服务方应严格遵守以下服务水平：</w:t>
      </w:r>
    </w:p>
    <w:p>
      <w:pPr>
        <w:spacing w:line="360" w:lineRule="auto"/>
        <w:ind w:firstLine="480" w:firstLineChars="200"/>
        <w:rPr>
          <w:rFonts w:ascii="仿宋" w:hAnsi="仿宋" w:eastAsia="仿宋" w:cs="Times New Roman"/>
          <w:bCs/>
          <w:kern w:val="2"/>
          <w:sz w:val="24"/>
          <w:szCs w:val="24"/>
        </w:rPr>
      </w:pPr>
      <w:r>
        <w:rPr>
          <w:rFonts w:hint="eastAsia" w:ascii="仿宋" w:hAnsi="仿宋" w:eastAsia="仿宋" w:cs="Times New Roman"/>
          <w:bCs/>
          <w:kern w:val="2"/>
          <w:sz w:val="24"/>
          <w:szCs w:val="24"/>
        </w:rPr>
        <w:t>（1）服务态度：服务人员应以热情、亲和的态度对待院方，耐心解答院方的问题，并主动提供技术支持和服务建议。</w:t>
      </w:r>
    </w:p>
    <w:p>
      <w:pPr>
        <w:spacing w:line="360" w:lineRule="auto"/>
        <w:ind w:firstLine="480" w:firstLineChars="200"/>
        <w:rPr>
          <w:rFonts w:ascii="仿宋" w:hAnsi="仿宋" w:eastAsia="仿宋" w:cs="Times New Roman"/>
          <w:bCs/>
          <w:kern w:val="2"/>
          <w:sz w:val="24"/>
          <w:szCs w:val="24"/>
        </w:rPr>
      </w:pPr>
      <w:r>
        <w:rPr>
          <w:rFonts w:hint="eastAsia" w:ascii="仿宋" w:hAnsi="仿宋" w:eastAsia="仿宋" w:cs="Times New Roman"/>
          <w:bCs/>
          <w:kern w:val="2"/>
          <w:sz w:val="24"/>
          <w:szCs w:val="24"/>
        </w:rPr>
        <w:t>（2）服务质量：维保服务方应保证维保服务质量，遵守相关规定和标准，保证设备正常运行，保障服务质量。</w:t>
      </w:r>
    </w:p>
    <w:p>
      <w:pPr>
        <w:spacing w:line="360" w:lineRule="auto"/>
        <w:ind w:firstLine="480" w:firstLineChars="200"/>
        <w:rPr>
          <w:rFonts w:ascii="仿宋" w:hAnsi="仿宋" w:eastAsia="仿宋" w:cs="Times New Roman"/>
          <w:bCs/>
          <w:kern w:val="2"/>
          <w:sz w:val="24"/>
          <w:szCs w:val="24"/>
        </w:rPr>
      </w:pPr>
      <w:r>
        <w:rPr>
          <w:rFonts w:hint="eastAsia" w:ascii="仿宋" w:hAnsi="仿宋" w:eastAsia="仿宋" w:cs="Times New Roman"/>
          <w:bCs/>
          <w:kern w:val="2"/>
          <w:sz w:val="24"/>
          <w:szCs w:val="24"/>
        </w:rPr>
        <w:t>（3）服务时效：维保服务方应严格按照合同约定的服务时间和服务标准提供维保服务，确保服务时效。</w:t>
      </w:r>
    </w:p>
    <w:p>
      <w:pPr>
        <w:spacing w:line="360" w:lineRule="auto"/>
        <w:ind w:firstLine="480" w:firstLineChars="200"/>
        <w:rPr>
          <w:rFonts w:ascii="仿宋" w:hAnsi="仿宋" w:eastAsia="仿宋" w:cs="Times New Roman"/>
          <w:bCs/>
          <w:kern w:val="2"/>
          <w:sz w:val="24"/>
          <w:szCs w:val="24"/>
        </w:rPr>
      </w:pPr>
      <w:r>
        <w:rPr>
          <w:rFonts w:ascii="仿宋" w:hAnsi="仿宋" w:eastAsia="仿宋" w:cs="Times New Roman"/>
          <w:bCs/>
          <w:kern w:val="2"/>
          <w:sz w:val="24"/>
          <w:szCs w:val="24"/>
        </w:rPr>
        <w:t>6</w:t>
      </w:r>
      <w:r>
        <w:rPr>
          <w:rFonts w:hint="eastAsia" w:ascii="仿宋" w:hAnsi="仿宋" w:eastAsia="仿宋" w:cs="Times New Roman"/>
          <w:bCs/>
          <w:kern w:val="2"/>
          <w:sz w:val="24"/>
          <w:szCs w:val="24"/>
        </w:rPr>
        <w:t>.2升级服务</w:t>
      </w:r>
    </w:p>
    <w:p>
      <w:pPr>
        <w:spacing w:line="360" w:lineRule="auto"/>
        <w:ind w:firstLine="480" w:firstLineChars="200"/>
        <w:rPr>
          <w:rFonts w:ascii="仿宋" w:hAnsi="仿宋" w:eastAsia="仿宋" w:cs="Times New Roman"/>
          <w:bCs/>
          <w:kern w:val="2"/>
          <w:sz w:val="24"/>
          <w:szCs w:val="24"/>
        </w:rPr>
      </w:pPr>
      <w:r>
        <w:rPr>
          <w:rFonts w:hint="eastAsia" w:ascii="仿宋" w:hAnsi="仿宋" w:eastAsia="仿宋" w:cs="Times New Roman"/>
          <w:bCs/>
          <w:kern w:val="2"/>
          <w:sz w:val="24"/>
          <w:szCs w:val="24"/>
        </w:rPr>
        <w:t>维保服务方应定期对视频平台进行升级，提供更加稳定和安全的服务。定期对视频平台进行检查升级，提供更加稳定的服务。如有必要，维保服务方应升级存储设备、服务器等硬件设备，提升其可靠性。</w:t>
      </w:r>
    </w:p>
    <w:p>
      <w:pPr>
        <w:spacing w:line="360" w:lineRule="auto"/>
        <w:ind w:firstLine="480" w:firstLineChars="200"/>
        <w:rPr>
          <w:rFonts w:ascii="仿宋" w:hAnsi="仿宋" w:eastAsia="仿宋" w:cs="Times New Roman"/>
          <w:bCs/>
          <w:kern w:val="2"/>
          <w:sz w:val="24"/>
          <w:szCs w:val="24"/>
        </w:rPr>
      </w:pPr>
      <w:r>
        <w:rPr>
          <w:rFonts w:ascii="仿宋" w:hAnsi="仿宋" w:eastAsia="仿宋" w:cs="Times New Roman"/>
          <w:bCs/>
          <w:kern w:val="2"/>
          <w:sz w:val="24"/>
          <w:szCs w:val="24"/>
        </w:rPr>
        <w:t>6</w:t>
      </w:r>
      <w:r>
        <w:rPr>
          <w:rFonts w:hint="eastAsia" w:ascii="仿宋" w:hAnsi="仿宋" w:eastAsia="仿宋" w:cs="Times New Roman"/>
          <w:bCs/>
          <w:kern w:val="2"/>
          <w:sz w:val="24"/>
          <w:szCs w:val="24"/>
        </w:rPr>
        <w:t>.3服务团队要求</w:t>
      </w:r>
    </w:p>
    <w:p>
      <w:pPr>
        <w:spacing w:line="360" w:lineRule="auto"/>
        <w:ind w:firstLine="480" w:firstLineChars="200"/>
        <w:rPr>
          <w:rFonts w:ascii="仿宋" w:hAnsi="仿宋" w:eastAsia="仿宋" w:cs="Times New Roman"/>
          <w:bCs/>
          <w:kern w:val="2"/>
          <w:sz w:val="24"/>
          <w:szCs w:val="24"/>
        </w:rPr>
      </w:pPr>
      <w:r>
        <w:rPr>
          <w:rFonts w:hint="eastAsia" w:ascii="仿宋" w:hAnsi="仿宋" w:eastAsia="仿宋" w:cs="Times New Roman"/>
          <w:bCs/>
          <w:kern w:val="2"/>
          <w:sz w:val="24"/>
          <w:szCs w:val="24"/>
        </w:rPr>
        <w:t>为了保证服务质量，维保服务方服务团队的规划应充分考虑到以下几个方面：</w:t>
      </w:r>
    </w:p>
    <w:p>
      <w:pPr>
        <w:spacing w:line="360" w:lineRule="auto"/>
        <w:ind w:firstLine="480" w:firstLineChars="200"/>
        <w:rPr>
          <w:rFonts w:ascii="仿宋" w:hAnsi="仿宋" w:eastAsia="仿宋" w:cs="Times New Roman"/>
          <w:bCs/>
          <w:kern w:val="2"/>
          <w:sz w:val="24"/>
          <w:szCs w:val="24"/>
        </w:rPr>
      </w:pPr>
      <w:r>
        <w:rPr>
          <w:rFonts w:hint="eastAsia" w:ascii="仿宋" w:hAnsi="仿宋" w:eastAsia="仿宋" w:cs="Times New Roman"/>
          <w:bCs/>
          <w:kern w:val="2"/>
          <w:sz w:val="24"/>
          <w:szCs w:val="24"/>
        </w:rPr>
        <w:t>（1）服务人员的素质和能力：服务人员应具备扎实的技术能力和专业知识，以及良好的沟通能力和服务意识。此外，服务人员还应具备高效的问题解决能力和应急处理能力，以应对各种可能出现的问题。</w:t>
      </w:r>
    </w:p>
    <w:p>
      <w:pPr>
        <w:spacing w:line="360" w:lineRule="auto"/>
        <w:ind w:firstLine="480" w:firstLineChars="200"/>
        <w:rPr>
          <w:rFonts w:ascii="仿宋" w:hAnsi="仿宋" w:eastAsia="仿宋" w:cs="Times New Roman"/>
          <w:bCs/>
          <w:kern w:val="2"/>
          <w:sz w:val="24"/>
          <w:szCs w:val="24"/>
        </w:rPr>
      </w:pPr>
      <w:r>
        <w:rPr>
          <w:rFonts w:hint="eastAsia" w:ascii="仿宋" w:hAnsi="仿宋" w:eastAsia="仿宋" w:cs="Times New Roman"/>
          <w:bCs/>
          <w:kern w:val="2"/>
          <w:sz w:val="24"/>
          <w:szCs w:val="24"/>
        </w:rPr>
        <w:t>（2）服务人员的数量和分布：根据监控设备的数量和分布情况，以及服务范围的要求，合理规划服务人员的数量和分布，确保能够及时响应院方的服务请求和处理故障。</w:t>
      </w:r>
    </w:p>
    <w:p>
      <w:pPr>
        <w:spacing w:line="360" w:lineRule="auto"/>
        <w:ind w:firstLine="480" w:firstLineChars="200"/>
        <w:rPr>
          <w:rFonts w:ascii="仿宋" w:hAnsi="仿宋" w:eastAsia="仿宋" w:cs="Times New Roman"/>
          <w:bCs/>
          <w:kern w:val="2"/>
          <w:sz w:val="24"/>
          <w:szCs w:val="24"/>
        </w:rPr>
      </w:pPr>
      <w:r>
        <w:rPr>
          <w:rFonts w:hint="eastAsia" w:ascii="仿宋" w:hAnsi="仿宋" w:eastAsia="仿宋" w:cs="Times New Roman"/>
          <w:bCs/>
          <w:kern w:val="2"/>
          <w:sz w:val="24"/>
          <w:szCs w:val="24"/>
        </w:rPr>
        <w:t>（3）服务人员的工作制度和培训：制定完善的服务人员工作制度，明确服务人员的职责和工作要求，同时加强服务人员的培训和考核，不断提高服务质量和水平。</w:t>
      </w:r>
    </w:p>
    <w:p>
      <w:pPr>
        <w:spacing w:line="360" w:lineRule="auto"/>
        <w:ind w:firstLine="480" w:firstLineChars="200"/>
        <w:rPr>
          <w:rFonts w:ascii="仿宋" w:hAnsi="仿宋" w:eastAsia="仿宋" w:cs="Times New Roman"/>
          <w:bCs/>
          <w:kern w:val="2"/>
          <w:sz w:val="24"/>
          <w:szCs w:val="24"/>
        </w:rPr>
      </w:pPr>
      <w:r>
        <w:rPr>
          <w:rFonts w:hint="eastAsia" w:ascii="仿宋" w:hAnsi="仿宋" w:eastAsia="仿宋" w:cs="Times New Roman"/>
          <w:bCs/>
          <w:kern w:val="2"/>
          <w:sz w:val="24"/>
          <w:szCs w:val="24"/>
        </w:rPr>
        <w:t>服务团队应由一支专业的技术支持团队和一支高效的服务支持团队组成。技术支持团队负责监控系统的维护和优化，包括硬件设备和软件系统的维护、监控设备的调试和优化、系统性能的监测和分析等；服务支持团队负责日常服务和故障处理，包括用户问题的解答和处理、设备故障的维修和更换、系统安全的维护和升级等。</w:t>
      </w:r>
    </w:p>
    <w:p>
      <w:pPr>
        <w:spacing w:line="360" w:lineRule="auto"/>
        <w:ind w:firstLine="480" w:firstLineChars="200"/>
        <w:rPr>
          <w:rFonts w:ascii="仿宋" w:hAnsi="仿宋" w:eastAsia="仿宋" w:cs="Times New Roman"/>
          <w:bCs/>
          <w:kern w:val="2"/>
          <w:sz w:val="24"/>
          <w:szCs w:val="24"/>
        </w:rPr>
      </w:pPr>
      <w:r>
        <w:rPr>
          <w:rFonts w:ascii="仿宋" w:hAnsi="仿宋" w:eastAsia="仿宋" w:cs="Times New Roman"/>
          <w:bCs/>
          <w:kern w:val="2"/>
          <w:sz w:val="24"/>
          <w:szCs w:val="24"/>
        </w:rPr>
        <w:t>6</w:t>
      </w:r>
      <w:r>
        <w:rPr>
          <w:rFonts w:hint="eastAsia" w:ascii="仿宋" w:hAnsi="仿宋" w:eastAsia="仿宋" w:cs="Times New Roman"/>
          <w:bCs/>
          <w:kern w:val="2"/>
          <w:sz w:val="24"/>
          <w:szCs w:val="24"/>
        </w:rPr>
        <w:t>.4服务保障措施</w:t>
      </w:r>
    </w:p>
    <w:p>
      <w:pPr>
        <w:spacing w:line="360" w:lineRule="auto"/>
        <w:ind w:firstLine="480" w:firstLineChars="200"/>
        <w:rPr>
          <w:rFonts w:ascii="仿宋" w:hAnsi="仿宋" w:eastAsia="仿宋" w:cs="Times New Roman"/>
          <w:bCs/>
          <w:kern w:val="2"/>
          <w:sz w:val="24"/>
          <w:szCs w:val="24"/>
        </w:rPr>
      </w:pPr>
      <w:r>
        <w:rPr>
          <w:rFonts w:hint="eastAsia" w:ascii="仿宋" w:hAnsi="仿宋" w:eastAsia="仿宋" w:cs="Times New Roman"/>
          <w:bCs/>
          <w:kern w:val="2"/>
          <w:sz w:val="24"/>
          <w:szCs w:val="24"/>
        </w:rPr>
        <w:t>为了保证监控系统的稳定性和可靠性，需要制定完善的服务保障措施，包括以下几个方面：</w:t>
      </w:r>
    </w:p>
    <w:p>
      <w:pPr>
        <w:spacing w:line="360" w:lineRule="auto"/>
        <w:ind w:firstLine="480" w:firstLineChars="200"/>
        <w:rPr>
          <w:rFonts w:ascii="仿宋" w:hAnsi="仿宋" w:eastAsia="仿宋" w:cs="Times New Roman"/>
          <w:bCs/>
          <w:kern w:val="2"/>
          <w:sz w:val="24"/>
          <w:szCs w:val="24"/>
        </w:rPr>
      </w:pPr>
      <w:r>
        <w:rPr>
          <w:rFonts w:hint="eastAsia" w:ascii="仿宋" w:hAnsi="仿宋" w:eastAsia="仿宋" w:cs="Times New Roman"/>
          <w:bCs/>
          <w:kern w:val="2"/>
          <w:sz w:val="24"/>
          <w:szCs w:val="24"/>
        </w:rPr>
        <w:t>设立服务热线：为院方提供7</w:t>
      </w:r>
      <w:r>
        <w:rPr>
          <w:rFonts w:ascii="仿宋" w:hAnsi="仿宋" w:eastAsia="仿宋" w:cs="Times New Roman"/>
          <w:bCs/>
          <w:kern w:val="2"/>
          <w:sz w:val="24"/>
          <w:szCs w:val="24"/>
        </w:rPr>
        <w:t>x</w:t>
      </w:r>
      <w:r>
        <w:rPr>
          <w:rFonts w:hint="eastAsia" w:ascii="仿宋" w:hAnsi="仿宋" w:eastAsia="仿宋" w:cs="Times New Roman"/>
          <w:bCs/>
          <w:kern w:val="2"/>
          <w:sz w:val="24"/>
          <w:szCs w:val="24"/>
        </w:rPr>
        <w:t>24小时服务热线，及时响应院方的服务请求和处理故障。</w:t>
      </w:r>
    </w:p>
    <w:p>
      <w:pPr>
        <w:spacing w:line="360" w:lineRule="auto"/>
        <w:ind w:firstLine="480" w:firstLineChars="200"/>
        <w:rPr>
          <w:rFonts w:ascii="仿宋" w:hAnsi="仿宋" w:eastAsia="仿宋" w:cs="Times New Roman"/>
          <w:bCs/>
          <w:kern w:val="2"/>
          <w:sz w:val="24"/>
          <w:szCs w:val="24"/>
        </w:rPr>
      </w:pPr>
      <w:r>
        <w:rPr>
          <w:rFonts w:hint="eastAsia" w:ascii="仿宋" w:hAnsi="仿宋" w:eastAsia="仿宋" w:cs="Times New Roman"/>
          <w:bCs/>
          <w:kern w:val="2"/>
          <w:sz w:val="24"/>
          <w:szCs w:val="24"/>
        </w:rPr>
        <w:t>备件备件库：建立完善的备件备件库，保证故障设备的及时更换和修复，最大程度地减少系统停机时间。</w:t>
      </w:r>
    </w:p>
    <w:p>
      <w:pPr>
        <w:spacing w:line="360" w:lineRule="auto"/>
        <w:ind w:firstLine="480" w:firstLineChars="200"/>
        <w:rPr>
          <w:rFonts w:ascii="仿宋" w:hAnsi="仿宋" w:eastAsia="仿宋" w:cs="Times New Roman"/>
          <w:bCs/>
          <w:kern w:val="2"/>
          <w:sz w:val="24"/>
          <w:szCs w:val="24"/>
        </w:rPr>
      </w:pPr>
      <w:r>
        <w:rPr>
          <w:rFonts w:hint="eastAsia" w:ascii="仿宋" w:hAnsi="仿宋" w:eastAsia="仿宋" w:cs="Times New Roman"/>
          <w:bCs/>
          <w:kern w:val="2"/>
          <w:sz w:val="24"/>
          <w:szCs w:val="24"/>
        </w:rPr>
        <w:t>定期维护和保养：制定定期维护和保养计划，对监控设备进行定期检查和维护，保证设备的长期稳定运行。</w:t>
      </w:r>
    </w:p>
    <w:p>
      <w:pPr>
        <w:spacing w:line="360" w:lineRule="auto"/>
        <w:ind w:firstLine="480" w:firstLineChars="200"/>
        <w:rPr>
          <w:rFonts w:ascii="仿宋" w:hAnsi="仿宋" w:eastAsia="仿宋" w:cs="Times New Roman"/>
          <w:bCs/>
          <w:kern w:val="2"/>
          <w:sz w:val="24"/>
          <w:szCs w:val="24"/>
        </w:rPr>
      </w:pPr>
      <w:r>
        <w:rPr>
          <w:rFonts w:hint="eastAsia" w:ascii="仿宋" w:hAnsi="仿宋" w:eastAsia="仿宋" w:cs="Times New Roman"/>
          <w:bCs/>
          <w:kern w:val="2"/>
          <w:sz w:val="24"/>
          <w:szCs w:val="24"/>
        </w:rPr>
        <w:t>数据备份和恢复：建立完善的数据备份机制，定期进行数据备份，并将备份数据存储在安全可靠的位置，避免数据丢失或损坏。</w:t>
      </w:r>
    </w:p>
    <w:p>
      <w:pPr>
        <w:spacing w:line="360" w:lineRule="auto"/>
        <w:ind w:firstLine="480" w:firstLineChars="200"/>
        <w:rPr>
          <w:rFonts w:ascii="仿宋" w:hAnsi="仿宋" w:eastAsia="仿宋" w:cs="Times New Roman"/>
          <w:bCs/>
          <w:kern w:val="2"/>
          <w:sz w:val="24"/>
          <w:szCs w:val="24"/>
        </w:rPr>
      </w:pPr>
      <w:r>
        <w:rPr>
          <w:rFonts w:hint="eastAsia" w:ascii="仿宋" w:hAnsi="仿宋" w:eastAsia="仿宋" w:cs="Times New Roman"/>
          <w:bCs/>
          <w:kern w:val="2"/>
          <w:sz w:val="24"/>
          <w:szCs w:val="24"/>
        </w:rPr>
        <w:t>监控设备监测和报警：建立监控设备的监测和报警系统，及时发现和处理设备故障和异常情况。</w:t>
      </w:r>
    </w:p>
    <w:p>
      <w:pPr>
        <w:spacing w:line="360" w:lineRule="auto"/>
        <w:ind w:firstLine="480" w:firstLineChars="200"/>
        <w:rPr>
          <w:rFonts w:ascii="仿宋" w:hAnsi="仿宋" w:eastAsia="仿宋" w:cs="Times New Roman"/>
          <w:bCs/>
          <w:kern w:val="2"/>
          <w:sz w:val="24"/>
          <w:szCs w:val="24"/>
        </w:rPr>
      </w:pPr>
    </w:p>
    <w:p>
      <w:pPr>
        <w:spacing w:after="160" w:line="259" w:lineRule="auto"/>
        <w:rPr>
          <w:rFonts w:ascii="仿宋" w:hAnsi="仿宋" w:eastAsia="仿宋" w:cs="Times New Roman"/>
          <w:b/>
          <w:kern w:val="2"/>
          <w:sz w:val="24"/>
          <w:szCs w:val="24"/>
        </w:rPr>
      </w:pPr>
      <w:r>
        <w:rPr>
          <w:rFonts w:hint="eastAsia" w:ascii="仿宋" w:hAnsi="仿宋" w:eastAsia="仿宋" w:cs="Times New Roman"/>
          <w:b/>
          <w:kern w:val="2"/>
          <w:sz w:val="24"/>
          <w:szCs w:val="24"/>
        </w:rPr>
        <w:t>七、备件服务</w:t>
      </w:r>
    </w:p>
    <w:p>
      <w:pPr>
        <w:spacing w:line="360" w:lineRule="auto"/>
        <w:ind w:firstLine="480" w:firstLineChars="200"/>
        <w:rPr>
          <w:rFonts w:ascii="仿宋" w:hAnsi="仿宋" w:eastAsia="仿宋" w:cs="Times New Roman"/>
          <w:bCs/>
          <w:kern w:val="2"/>
          <w:sz w:val="24"/>
          <w:szCs w:val="24"/>
        </w:rPr>
      </w:pPr>
      <w:r>
        <w:rPr>
          <w:rFonts w:hint="eastAsia" w:ascii="仿宋" w:hAnsi="仿宋" w:eastAsia="仿宋" w:cs="Times New Roman"/>
          <w:bCs/>
          <w:kern w:val="2"/>
          <w:sz w:val="24"/>
          <w:szCs w:val="24"/>
        </w:rPr>
        <w:t>维保服务方须提供院方所有“维保产品清单”（详见本节“八、维保产品清单”）的备件支持服务（7x24小时），在院方现场放置部分常用及重要备件，并针对业务提供高级别的支持。</w:t>
      </w:r>
    </w:p>
    <w:p>
      <w:pPr>
        <w:spacing w:line="360" w:lineRule="auto"/>
        <w:ind w:firstLine="480" w:firstLineChars="200"/>
        <w:rPr>
          <w:rFonts w:ascii="仿宋" w:hAnsi="仿宋" w:eastAsia="仿宋" w:cs="Times New Roman"/>
          <w:bCs/>
          <w:kern w:val="2"/>
          <w:sz w:val="24"/>
          <w:szCs w:val="24"/>
        </w:rPr>
      </w:pPr>
    </w:p>
    <w:p>
      <w:pPr>
        <w:spacing w:after="160" w:line="259" w:lineRule="auto"/>
        <w:rPr>
          <w:rFonts w:ascii="仿宋" w:hAnsi="仿宋" w:eastAsia="仿宋" w:cs="Times New Roman"/>
          <w:b/>
          <w:kern w:val="2"/>
          <w:sz w:val="24"/>
          <w:szCs w:val="24"/>
        </w:rPr>
      </w:pPr>
      <w:r>
        <w:rPr>
          <w:rFonts w:hint="eastAsia" w:ascii="仿宋" w:hAnsi="仿宋" w:eastAsia="仿宋" w:cs="Times New Roman"/>
          <w:b/>
          <w:kern w:val="2"/>
          <w:sz w:val="24"/>
          <w:szCs w:val="24"/>
        </w:rPr>
        <w:t>八、维保产品清单</w:t>
      </w:r>
    </w:p>
    <w:tbl>
      <w:tblPr>
        <w:tblStyle w:val="4"/>
        <w:tblW w:w="8775" w:type="dxa"/>
        <w:tblInd w:w="-275" w:type="dxa"/>
        <w:tblLayout w:type="autofit"/>
        <w:tblCellMar>
          <w:top w:w="0" w:type="dxa"/>
          <w:left w:w="108" w:type="dxa"/>
          <w:bottom w:w="0" w:type="dxa"/>
          <w:right w:w="108" w:type="dxa"/>
        </w:tblCellMar>
      </w:tblPr>
      <w:tblGrid>
        <w:gridCol w:w="728"/>
        <w:gridCol w:w="6063"/>
        <w:gridCol w:w="1276"/>
        <w:gridCol w:w="708"/>
      </w:tblGrid>
      <w:tr>
        <w:tblPrEx>
          <w:tblCellMar>
            <w:top w:w="0" w:type="dxa"/>
            <w:left w:w="108" w:type="dxa"/>
            <w:bottom w:w="0" w:type="dxa"/>
            <w:right w:w="108" w:type="dxa"/>
          </w:tblCellMar>
        </w:tblPrEx>
        <w:trPr>
          <w:trHeight w:val="285" w:hRule="atLeast"/>
        </w:trPr>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b/>
                <w:color w:val="000000"/>
                <w:sz w:val="21"/>
                <w:szCs w:val="21"/>
              </w:rPr>
            </w:pPr>
            <w:r>
              <w:rPr>
                <w:rFonts w:hint="eastAsia" w:ascii="仿宋" w:hAnsi="仿宋" w:eastAsia="仿宋"/>
                <w:b/>
                <w:color w:val="000000"/>
                <w:sz w:val="21"/>
                <w:szCs w:val="21"/>
              </w:rPr>
              <w:t>序号</w:t>
            </w:r>
          </w:p>
        </w:tc>
        <w:tc>
          <w:tcPr>
            <w:tcW w:w="6063"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b/>
                <w:color w:val="000000"/>
                <w:sz w:val="21"/>
                <w:szCs w:val="21"/>
              </w:rPr>
            </w:pPr>
            <w:r>
              <w:rPr>
                <w:rFonts w:hint="eastAsia" w:ascii="仿宋" w:hAnsi="仿宋" w:eastAsia="仿宋"/>
                <w:b/>
                <w:color w:val="000000"/>
                <w:sz w:val="21"/>
                <w:szCs w:val="21"/>
              </w:rPr>
              <w:t>产品描述</w:t>
            </w: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b/>
                <w:color w:val="000000"/>
                <w:sz w:val="21"/>
                <w:szCs w:val="21"/>
              </w:rPr>
            </w:pPr>
            <w:r>
              <w:rPr>
                <w:rFonts w:hint="eastAsia" w:ascii="仿宋" w:hAnsi="仿宋" w:eastAsia="仿宋"/>
                <w:b/>
                <w:color w:val="000000"/>
                <w:sz w:val="21"/>
                <w:szCs w:val="21"/>
              </w:rPr>
              <w:t>产品数量</w:t>
            </w:r>
          </w:p>
        </w:tc>
        <w:tc>
          <w:tcPr>
            <w:tcW w:w="708"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b/>
                <w:color w:val="000000"/>
                <w:sz w:val="21"/>
                <w:szCs w:val="21"/>
              </w:rPr>
            </w:pPr>
            <w:r>
              <w:rPr>
                <w:rFonts w:hint="eastAsia" w:ascii="仿宋" w:hAnsi="仿宋" w:eastAsia="仿宋"/>
                <w:b/>
                <w:color w:val="000000"/>
                <w:sz w:val="21"/>
                <w:szCs w:val="21"/>
              </w:rPr>
              <w:t>单位</w:t>
            </w:r>
          </w:p>
        </w:tc>
      </w:tr>
      <w:tr>
        <w:tblPrEx>
          <w:tblCellMar>
            <w:top w:w="0" w:type="dxa"/>
            <w:left w:w="108" w:type="dxa"/>
            <w:bottom w:w="0" w:type="dxa"/>
            <w:right w:w="108" w:type="dxa"/>
          </w:tblCellMar>
        </w:tblPrEx>
        <w:trPr>
          <w:trHeight w:val="285" w:hRule="atLeast"/>
        </w:trPr>
        <w:tc>
          <w:tcPr>
            <w:tcW w:w="877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仿宋" w:hAnsi="仿宋" w:eastAsia="仿宋"/>
                <w:bCs/>
                <w:color w:val="000000"/>
                <w:sz w:val="21"/>
                <w:szCs w:val="21"/>
              </w:rPr>
            </w:pPr>
            <w:r>
              <w:rPr>
                <w:rFonts w:hint="eastAsia" w:ascii="仿宋" w:hAnsi="仿宋" w:eastAsia="仿宋"/>
                <w:bCs/>
                <w:color w:val="000000"/>
                <w:sz w:val="21"/>
                <w:szCs w:val="21"/>
              </w:rPr>
              <w:t>一、二期大楼</w:t>
            </w:r>
          </w:p>
        </w:tc>
      </w:tr>
      <w:tr>
        <w:tblPrEx>
          <w:tblCellMar>
            <w:top w:w="0" w:type="dxa"/>
            <w:left w:w="108" w:type="dxa"/>
            <w:bottom w:w="0" w:type="dxa"/>
            <w:right w:w="108" w:type="dxa"/>
          </w:tblCellMar>
        </w:tblPrEx>
        <w:trPr>
          <w:trHeight w:val="983" w:hRule="atLeast"/>
        </w:trPr>
        <w:tc>
          <w:tcPr>
            <w:tcW w:w="728"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olor w:val="000000"/>
                <w:sz w:val="21"/>
                <w:szCs w:val="21"/>
              </w:rPr>
            </w:pPr>
            <w:r>
              <w:rPr>
                <w:rFonts w:hint="eastAsia" w:ascii="仿宋" w:hAnsi="仿宋" w:eastAsia="仿宋"/>
                <w:color w:val="000000"/>
                <w:sz w:val="21"/>
                <w:szCs w:val="21"/>
              </w:rPr>
              <w:t>1</w:t>
            </w:r>
          </w:p>
        </w:tc>
        <w:tc>
          <w:tcPr>
            <w:tcW w:w="606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olor w:val="000000"/>
                <w:sz w:val="21"/>
                <w:szCs w:val="21"/>
              </w:rPr>
            </w:pPr>
            <w:r>
              <w:rPr>
                <w:rFonts w:hint="eastAsia" w:ascii="仿宋" w:hAnsi="仿宋" w:eastAsia="仿宋"/>
                <w:color w:val="000000"/>
                <w:sz w:val="21"/>
                <w:szCs w:val="21"/>
              </w:rPr>
              <w:t>高清球机</w:t>
            </w:r>
          </w:p>
        </w:tc>
        <w:tc>
          <w:tcPr>
            <w:tcW w:w="1276" w:type="dxa"/>
            <w:tcBorders>
              <w:top w:val="nil"/>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olor w:val="000000"/>
                <w:sz w:val="21"/>
                <w:szCs w:val="21"/>
              </w:rPr>
            </w:pPr>
            <w:r>
              <w:rPr>
                <w:rFonts w:ascii="仿宋" w:hAnsi="仿宋" w:eastAsia="仿宋"/>
                <w:sz w:val="21"/>
                <w:szCs w:val="21"/>
              </w:rPr>
              <w:t>125</w:t>
            </w:r>
          </w:p>
        </w:tc>
        <w:tc>
          <w:tcPr>
            <w:tcW w:w="708"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sz w:val="21"/>
                <w:szCs w:val="21"/>
              </w:rPr>
            </w:pPr>
            <w:r>
              <w:rPr>
                <w:rFonts w:hint="eastAsia" w:ascii="仿宋" w:hAnsi="仿宋" w:eastAsia="仿宋"/>
                <w:sz w:val="21"/>
                <w:szCs w:val="21"/>
              </w:rPr>
              <w:t>台</w:t>
            </w:r>
          </w:p>
        </w:tc>
      </w:tr>
      <w:tr>
        <w:tblPrEx>
          <w:tblCellMar>
            <w:top w:w="0" w:type="dxa"/>
            <w:left w:w="108" w:type="dxa"/>
            <w:bottom w:w="0" w:type="dxa"/>
            <w:right w:w="108" w:type="dxa"/>
          </w:tblCellMar>
        </w:tblPrEx>
        <w:trPr>
          <w:trHeight w:val="790" w:hRule="atLeast"/>
        </w:trPr>
        <w:tc>
          <w:tcPr>
            <w:tcW w:w="728"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olor w:val="000000"/>
                <w:sz w:val="21"/>
                <w:szCs w:val="21"/>
              </w:rPr>
            </w:pPr>
            <w:r>
              <w:rPr>
                <w:rFonts w:hint="eastAsia" w:ascii="仿宋" w:hAnsi="仿宋" w:eastAsia="仿宋"/>
                <w:color w:val="000000"/>
                <w:sz w:val="21"/>
                <w:szCs w:val="21"/>
              </w:rPr>
              <w:t>2</w:t>
            </w:r>
          </w:p>
        </w:tc>
        <w:tc>
          <w:tcPr>
            <w:tcW w:w="606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sz w:val="21"/>
                <w:szCs w:val="21"/>
              </w:rPr>
            </w:pPr>
            <w:r>
              <w:rPr>
                <w:rFonts w:hint="eastAsia" w:ascii="仿宋" w:hAnsi="仿宋" w:eastAsia="仿宋"/>
                <w:sz w:val="21"/>
                <w:szCs w:val="21"/>
              </w:rPr>
              <w:t>4</w:t>
            </w:r>
            <w:r>
              <w:rPr>
                <w:rFonts w:ascii="仿宋" w:hAnsi="仿宋" w:eastAsia="仿宋"/>
                <w:sz w:val="21"/>
                <w:szCs w:val="21"/>
              </w:rPr>
              <w:t>00</w:t>
            </w:r>
            <w:r>
              <w:rPr>
                <w:rFonts w:hint="eastAsia" w:ascii="仿宋" w:hAnsi="仿宋" w:eastAsia="仿宋"/>
                <w:sz w:val="21"/>
                <w:szCs w:val="21"/>
              </w:rPr>
              <w:t>万像素球机</w:t>
            </w:r>
          </w:p>
        </w:tc>
        <w:tc>
          <w:tcPr>
            <w:tcW w:w="1276" w:type="dxa"/>
            <w:tcBorders>
              <w:top w:val="nil"/>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sz w:val="21"/>
                <w:szCs w:val="21"/>
              </w:rPr>
            </w:pPr>
            <w:r>
              <w:rPr>
                <w:rFonts w:ascii="仿宋" w:hAnsi="仿宋" w:eastAsia="仿宋"/>
                <w:sz w:val="21"/>
                <w:szCs w:val="21"/>
              </w:rPr>
              <w:t>36</w:t>
            </w:r>
          </w:p>
        </w:tc>
        <w:tc>
          <w:tcPr>
            <w:tcW w:w="708"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olor w:val="000000"/>
                <w:sz w:val="21"/>
                <w:szCs w:val="21"/>
              </w:rPr>
            </w:pPr>
            <w:r>
              <w:rPr>
                <w:rFonts w:hint="eastAsia" w:ascii="仿宋" w:hAnsi="仿宋" w:eastAsia="仿宋"/>
                <w:color w:val="000000"/>
                <w:sz w:val="21"/>
                <w:szCs w:val="21"/>
              </w:rPr>
              <w:t>台</w:t>
            </w:r>
          </w:p>
        </w:tc>
      </w:tr>
      <w:tr>
        <w:tblPrEx>
          <w:tblCellMar>
            <w:top w:w="0" w:type="dxa"/>
            <w:left w:w="108" w:type="dxa"/>
            <w:bottom w:w="0" w:type="dxa"/>
            <w:right w:w="108" w:type="dxa"/>
          </w:tblCellMar>
        </w:tblPrEx>
        <w:trPr>
          <w:trHeight w:val="315" w:hRule="atLeast"/>
        </w:trPr>
        <w:tc>
          <w:tcPr>
            <w:tcW w:w="728"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olor w:val="000000"/>
                <w:sz w:val="21"/>
                <w:szCs w:val="21"/>
              </w:rPr>
            </w:pPr>
            <w:r>
              <w:rPr>
                <w:rFonts w:hint="eastAsia" w:ascii="仿宋" w:hAnsi="仿宋" w:eastAsia="仿宋"/>
                <w:color w:val="000000"/>
                <w:sz w:val="21"/>
                <w:szCs w:val="21"/>
              </w:rPr>
              <w:t>3</w:t>
            </w:r>
          </w:p>
        </w:tc>
        <w:tc>
          <w:tcPr>
            <w:tcW w:w="606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sz w:val="21"/>
                <w:szCs w:val="21"/>
              </w:rPr>
            </w:pPr>
            <w:r>
              <w:rPr>
                <w:rFonts w:hint="eastAsia" w:ascii="仿宋" w:hAnsi="仿宋" w:eastAsia="仿宋"/>
                <w:sz w:val="21"/>
                <w:szCs w:val="21"/>
              </w:rPr>
              <w:t>N</w:t>
            </w:r>
            <w:r>
              <w:rPr>
                <w:rFonts w:ascii="仿宋" w:hAnsi="仿宋" w:eastAsia="仿宋"/>
                <w:sz w:val="21"/>
                <w:szCs w:val="21"/>
              </w:rPr>
              <w:t>VR</w:t>
            </w:r>
            <w:r>
              <w:rPr>
                <w:rFonts w:hint="eastAsia" w:ascii="仿宋" w:hAnsi="仿宋" w:eastAsia="仿宋"/>
                <w:sz w:val="21"/>
                <w:szCs w:val="21"/>
              </w:rPr>
              <w:t>网络硬盘录像机</w:t>
            </w:r>
          </w:p>
        </w:tc>
        <w:tc>
          <w:tcPr>
            <w:tcW w:w="1276" w:type="dxa"/>
            <w:tcBorders>
              <w:top w:val="nil"/>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sz w:val="21"/>
                <w:szCs w:val="21"/>
              </w:rPr>
            </w:pPr>
            <w:r>
              <w:rPr>
                <w:rFonts w:ascii="仿宋" w:hAnsi="仿宋" w:eastAsia="仿宋"/>
                <w:sz w:val="21"/>
                <w:szCs w:val="21"/>
              </w:rPr>
              <w:t>2</w:t>
            </w:r>
          </w:p>
        </w:tc>
        <w:tc>
          <w:tcPr>
            <w:tcW w:w="708"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olor w:val="000000"/>
                <w:sz w:val="21"/>
                <w:szCs w:val="21"/>
              </w:rPr>
            </w:pPr>
            <w:r>
              <w:rPr>
                <w:rFonts w:hint="eastAsia" w:ascii="仿宋" w:hAnsi="仿宋" w:eastAsia="仿宋"/>
                <w:color w:val="000000"/>
                <w:sz w:val="21"/>
                <w:szCs w:val="21"/>
              </w:rPr>
              <w:t>台</w:t>
            </w:r>
          </w:p>
        </w:tc>
      </w:tr>
      <w:tr>
        <w:tblPrEx>
          <w:tblCellMar>
            <w:top w:w="0" w:type="dxa"/>
            <w:left w:w="108" w:type="dxa"/>
            <w:bottom w:w="0" w:type="dxa"/>
            <w:right w:w="108" w:type="dxa"/>
          </w:tblCellMar>
        </w:tblPrEx>
        <w:trPr>
          <w:trHeight w:val="205" w:hRule="atLeast"/>
        </w:trPr>
        <w:tc>
          <w:tcPr>
            <w:tcW w:w="728"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olor w:val="000000"/>
                <w:sz w:val="21"/>
                <w:szCs w:val="21"/>
              </w:rPr>
            </w:pPr>
            <w:r>
              <w:rPr>
                <w:rFonts w:ascii="仿宋" w:hAnsi="仿宋" w:eastAsia="仿宋"/>
                <w:color w:val="000000"/>
                <w:sz w:val="21"/>
                <w:szCs w:val="21"/>
              </w:rPr>
              <w:t>4</w:t>
            </w:r>
          </w:p>
        </w:tc>
        <w:tc>
          <w:tcPr>
            <w:tcW w:w="606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olor w:val="000000"/>
                <w:sz w:val="21"/>
                <w:szCs w:val="21"/>
              </w:rPr>
            </w:pPr>
            <w:r>
              <w:rPr>
                <w:rFonts w:hint="eastAsia" w:ascii="仿宋" w:hAnsi="仿宋" w:eastAsia="仿宋"/>
                <w:sz w:val="21"/>
                <w:szCs w:val="21"/>
              </w:rPr>
              <w:t>拼接解码器</w:t>
            </w:r>
          </w:p>
        </w:tc>
        <w:tc>
          <w:tcPr>
            <w:tcW w:w="1276" w:type="dxa"/>
            <w:tcBorders>
              <w:top w:val="nil"/>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olor w:val="000000"/>
                <w:sz w:val="21"/>
                <w:szCs w:val="21"/>
              </w:rPr>
            </w:pPr>
            <w:r>
              <w:rPr>
                <w:rFonts w:ascii="仿宋" w:hAnsi="仿宋" w:eastAsia="仿宋"/>
                <w:sz w:val="21"/>
                <w:szCs w:val="21"/>
              </w:rPr>
              <w:t>2</w:t>
            </w:r>
          </w:p>
        </w:tc>
        <w:tc>
          <w:tcPr>
            <w:tcW w:w="708"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sz w:val="21"/>
                <w:szCs w:val="21"/>
              </w:rPr>
            </w:pPr>
            <w:r>
              <w:rPr>
                <w:rFonts w:hint="eastAsia" w:ascii="仿宋" w:hAnsi="仿宋" w:eastAsia="仿宋"/>
                <w:sz w:val="21"/>
                <w:szCs w:val="21"/>
              </w:rPr>
              <w:t>台</w:t>
            </w:r>
          </w:p>
        </w:tc>
      </w:tr>
      <w:tr>
        <w:tblPrEx>
          <w:tblCellMar>
            <w:top w:w="0" w:type="dxa"/>
            <w:left w:w="108" w:type="dxa"/>
            <w:bottom w:w="0" w:type="dxa"/>
            <w:right w:w="108" w:type="dxa"/>
          </w:tblCellMar>
        </w:tblPrEx>
        <w:trPr>
          <w:trHeight w:val="205" w:hRule="atLeast"/>
        </w:trPr>
        <w:tc>
          <w:tcPr>
            <w:tcW w:w="728"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olor w:val="000000"/>
                <w:sz w:val="21"/>
                <w:szCs w:val="21"/>
              </w:rPr>
            </w:pPr>
            <w:r>
              <w:rPr>
                <w:rFonts w:ascii="仿宋" w:hAnsi="仿宋" w:eastAsia="仿宋"/>
                <w:color w:val="000000"/>
                <w:sz w:val="21"/>
                <w:szCs w:val="21"/>
              </w:rPr>
              <w:t>5</w:t>
            </w:r>
          </w:p>
        </w:tc>
        <w:tc>
          <w:tcPr>
            <w:tcW w:w="606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olor w:val="000000"/>
                <w:sz w:val="21"/>
                <w:szCs w:val="21"/>
              </w:rPr>
            </w:pPr>
            <w:r>
              <w:rPr>
                <w:rFonts w:ascii="仿宋" w:hAnsi="仿宋" w:eastAsia="仿宋"/>
                <w:sz w:val="21"/>
                <w:szCs w:val="21"/>
              </w:rPr>
              <w:t>LCD</w:t>
            </w:r>
            <w:r>
              <w:rPr>
                <w:rFonts w:hint="eastAsia" w:ascii="仿宋" w:hAnsi="仿宋" w:eastAsia="仿宋"/>
                <w:sz w:val="21"/>
                <w:szCs w:val="21"/>
              </w:rPr>
              <w:t>拼接电视墙</w:t>
            </w:r>
          </w:p>
        </w:tc>
        <w:tc>
          <w:tcPr>
            <w:tcW w:w="1276" w:type="dxa"/>
            <w:tcBorders>
              <w:top w:val="nil"/>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olor w:val="000000"/>
                <w:sz w:val="21"/>
                <w:szCs w:val="21"/>
              </w:rPr>
            </w:pPr>
            <w:r>
              <w:rPr>
                <w:rFonts w:ascii="仿宋" w:hAnsi="仿宋" w:eastAsia="仿宋"/>
                <w:sz w:val="21"/>
                <w:szCs w:val="21"/>
              </w:rPr>
              <w:t>6</w:t>
            </w:r>
          </w:p>
        </w:tc>
        <w:tc>
          <w:tcPr>
            <w:tcW w:w="708"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sz w:val="21"/>
                <w:szCs w:val="21"/>
              </w:rPr>
            </w:pPr>
            <w:r>
              <w:rPr>
                <w:rFonts w:hint="eastAsia" w:ascii="仿宋" w:hAnsi="仿宋" w:eastAsia="仿宋"/>
                <w:color w:val="000000"/>
                <w:sz w:val="21"/>
                <w:szCs w:val="21"/>
              </w:rPr>
              <w:t>套</w:t>
            </w:r>
          </w:p>
        </w:tc>
      </w:tr>
      <w:tr>
        <w:tblPrEx>
          <w:tblCellMar>
            <w:top w:w="0" w:type="dxa"/>
            <w:left w:w="108" w:type="dxa"/>
            <w:bottom w:w="0" w:type="dxa"/>
            <w:right w:w="108" w:type="dxa"/>
          </w:tblCellMar>
        </w:tblPrEx>
        <w:trPr>
          <w:trHeight w:val="205" w:hRule="atLeast"/>
        </w:trPr>
        <w:tc>
          <w:tcPr>
            <w:tcW w:w="728"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olor w:val="000000"/>
                <w:sz w:val="21"/>
                <w:szCs w:val="21"/>
              </w:rPr>
            </w:pPr>
            <w:r>
              <w:rPr>
                <w:rFonts w:ascii="仿宋" w:hAnsi="仿宋" w:eastAsia="仿宋"/>
                <w:color w:val="000000"/>
                <w:sz w:val="21"/>
                <w:szCs w:val="21"/>
              </w:rPr>
              <w:t>6</w:t>
            </w:r>
          </w:p>
        </w:tc>
        <w:tc>
          <w:tcPr>
            <w:tcW w:w="606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olor w:val="000000"/>
                <w:sz w:val="21"/>
                <w:szCs w:val="21"/>
              </w:rPr>
            </w:pPr>
            <w:r>
              <w:rPr>
                <w:rFonts w:hint="eastAsia" w:ascii="仿宋" w:hAnsi="仿宋" w:eastAsia="仿宋"/>
                <w:sz w:val="21"/>
                <w:szCs w:val="21"/>
              </w:rPr>
              <w:t>监控管理平台</w:t>
            </w:r>
          </w:p>
        </w:tc>
        <w:tc>
          <w:tcPr>
            <w:tcW w:w="1276" w:type="dxa"/>
            <w:tcBorders>
              <w:top w:val="nil"/>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olor w:val="000000"/>
                <w:sz w:val="21"/>
                <w:szCs w:val="21"/>
              </w:rPr>
            </w:pPr>
            <w:r>
              <w:rPr>
                <w:rFonts w:ascii="仿宋" w:hAnsi="仿宋" w:eastAsia="仿宋"/>
                <w:sz w:val="21"/>
                <w:szCs w:val="21"/>
              </w:rPr>
              <w:t>1</w:t>
            </w:r>
          </w:p>
        </w:tc>
        <w:tc>
          <w:tcPr>
            <w:tcW w:w="708"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sz w:val="21"/>
                <w:szCs w:val="21"/>
              </w:rPr>
            </w:pPr>
            <w:r>
              <w:rPr>
                <w:rFonts w:hint="eastAsia" w:ascii="仿宋" w:hAnsi="仿宋" w:eastAsia="仿宋"/>
                <w:color w:val="000000"/>
                <w:sz w:val="21"/>
                <w:szCs w:val="21"/>
              </w:rPr>
              <w:t>套</w:t>
            </w:r>
          </w:p>
        </w:tc>
      </w:tr>
      <w:tr>
        <w:tblPrEx>
          <w:tblCellMar>
            <w:top w:w="0" w:type="dxa"/>
            <w:left w:w="108" w:type="dxa"/>
            <w:bottom w:w="0" w:type="dxa"/>
            <w:right w:w="108" w:type="dxa"/>
          </w:tblCellMar>
        </w:tblPrEx>
        <w:trPr>
          <w:trHeight w:val="205" w:hRule="atLeast"/>
        </w:trPr>
        <w:tc>
          <w:tcPr>
            <w:tcW w:w="728"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olor w:val="000000"/>
                <w:sz w:val="21"/>
                <w:szCs w:val="21"/>
              </w:rPr>
            </w:pPr>
            <w:r>
              <w:rPr>
                <w:rFonts w:ascii="仿宋" w:hAnsi="仿宋" w:eastAsia="仿宋"/>
                <w:color w:val="000000"/>
                <w:sz w:val="21"/>
                <w:szCs w:val="21"/>
              </w:rPr>
              <w:t>7</w:t>
            </w:r>
          </w:p>
        </w:tc>
        <w:tc>
          <w:tcPr>
            <w:tcW w:w="606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sz w:val="21"/>
                <w:szCs w:val="21"/>
              </w:rPr>
            </w:pPr>
            <w:r>
              <w:rPr>
                <w:rFonts w:hint="eastAsia" w:ascii="仿宋" w:hAnsi="仿宋" w:eastAsia="仿宋"/>
                <w:sz w:val="21"/>
                <w:szCs w:val="21"/>
              </w:rPr>
              <w:t>接入交换机</w:t>
            </w:r>
          </w:p>
        </w:tc>
        <w:tc>
          <w:tcPr>
            <w:tcW w:w="1276" w:type="dxa"/>
            <w:tcBorders>
              <w:top w:val="nil"/>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sz w:val="21"/>
                <w:szCs w:val="21"/>
              </w:rPr>
            </w:pPr>
            <w:r>
              <w:rPr>
                <w:rFonts w:ascii="仿宋" w:hAnsi="仿宋" w:eastAsia="仿宋"/>
                <w:sz w:val="21"/>
                <w:szCs w:val="21"/>
              </w:rPr>
              <w:t>7</w:t>
            </w:r>
          </w:p>
        </w:tc>
        <w:tc>
          <w:tcPr>
            <w:tcW w:w="708"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olor w:val="000000"/>
                <w:sz w:val="21"/>
                <w:szCs w:val="21"/>
              </w:rPr>
            </w:pPr>
            <w:r>
              <w:rPr>
                <w:rFonts w:hint="eastAsia" w:ascii="仿宋" w:hAnsi="仿宋" w:eastAsia="仿宋"/>
                <w:color w:val="000000"/>
                <w:sz w:val="21"/>
                <w:szCs w:val="21"/>
              </w:rPr>
              <w:t>台</w:t>
            </w:r>
          </w:p>
        </w:tc>
      </w:tr>
      <w:tr>
        <w:tblPrEx>
          <w:tblCellMar>
            <w:top w:w="0" w:type="dxa"/>
            <w:left w:w="108" w:type="dxa"/>
            <w:bottom w:w="0" w:type="dxa"/>
            <w:right w:w="108" w:type="dxa"/>
          </w:tblCellMar>
        </w:tblPrEx>
        <w:trPr>
          <w:trHeight w:val="205" w:hRule="atLeast"/>
        </w:trPr>
        <w:tc>
          <w:tcPr>
            <w:tcW w:w="728"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olor w:val="000000"/>
                <w:sz w:val="21"/>
                <w:szCs w:val="21"/>
              </w:rPr>
            </w:pPr>
            <w:r>
              <w:rPr>
                <w:rFonts w:ascii="仿宋" w:hAnsi="仿宋" w:eastAsia="仿宋"/>
                <w:color w:val="000000"/>
                <w:sz w:val="21"/>
                <w:szCs w:val="21"/>
              </w:rPr>
              <w:t>8</w:t>
            </w:r>
          </w:p>
        </w:tc>
        <w:tc>
          <w:tcPr>
            <w:tcW w:w="606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sz w:val="21"/>
                <w:szCs w:val="21"/>
              </w:rPr>
            </w:pPr>
            <w:r>
              <w:rPr>
                <w:rFonts w:hint="eastAsia" w:ascii="仿宋" w:hAnsi="仿宋" w:eastAsia="仿宋"/>
                <w:sz w:val="21"/>
                <w:szCs w:val="21"/>
              </w:rPr>
              <w:t>核心交换机</w:t>
            </w:r>
          </w:p>
        </w:tc>
        <w:tc>
          <w:tcPr>
            <w:tcW w:w="1276" w:type="dxa"/>
            <w:tcBorders>
              <w:top w:val="nil"/>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sz w:val="21"/>
                <w:szCs w:val="21"/>
              </w:rPr>
            </w:pPr>
            <w:r>
              <w:rPr>
                <w:rFonts w:ascii="仿宋" w:hAnsi="仿宋" w:eastAsia="仿宋"/>
                <w:sz w:val="21"/>
                <w:szCs w:val="21"/>
              </w:rPr>
              <w:t>1</w:t>
            </w:r>
          </w:p>
        </w:tc>
        <w:tc>
          <w:tcPr>
            <w:tcW w:w="708"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olor w:val="000000"/>
                <w:sz w:val="21"/>
                <w:szCs w:val="21"/>
              </w:rPr>
            </w:pPr>
            <w:r>
              <w:rPr>
                <w:rFonts w:hint="eastAsia" w:ascii="仿宋" w:hAnsi="仿宋" w:eastAsia="仿宋"/>
                <w:color w:val="000000"/>
                <w:sz w:val="21"/>
                <w:szCs w:val="21"/>
              </w:rPr>
              <w:t>台</w:t>
            </w:r>
          </w:p>
        </w:tc>
      </w:tr>
      <w:tr>
        <w:tblPrEx>
          <w:tblCellMar>
            <w:top w:w="0" w:type="dxa"/>
            <w:left w:w="108" w:type="dxa"/>
            <w:bottom w:w="0" w:type="dxa"/>
            <w:right w:w="108" w:type="dxa"/>
          </w:tblCellMar>
        </w:tblPrEx>
        <w:trPr>
          <w:trHeight w:val="205" w:hRule="atLeast"/>
        </w:trPr>
        <w:tc>
          <w:tcPr>
            <w:tcW w:w="8775" w:type="dxa"/>
            <w:gridSpan w:val="4"/>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仿宋" w:hAnsi="仿宋" w:eastAsia="仿宋"/>
                <w:color w:val="000000"/>
                <w:sz w:val="21"/>
                <w:szCs w:val="21"/>
              </w:rPr>
            </w:pPr>
            <w:r>
              <w:rPr>
                <w:rFonts w:hint="eastAsia" w:ascii="仿宋" w:hAnsi="仿宋" w:eastAsia="仿宋"/>
                <w:color w:val="000000"/>
                <w:sz w:val="21"/>
                <w:szCs w:val="21"/>
              </w:rPr>
              <w:t>二、烈性楼</w:t>
            </w:r>
          </w:p>
        </w:tc>
      </w:tr>
      <w:tr>
        <w:tblPrEx>
          <w:tblCellMar>
            <w:top w:w="0" w:type="dxa"/>
            <w:left w:w="108" w:type="dxa"/>
            <w:bottom w:w="0" w:type="dxa"/>
            <w:right w:w="108" w:type="dxa"/>
          </w:tblCellMar>
        </w:tblPrEx>
        <w:trPr>
          <w:trHeight w:val="205" w:hRule="atLeast"/>
        </w:trPr>
        <w:tc>
          <w:tcPr>
            <w:tcW w:w="728"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olor w:val="000000"/>
                <w:sz w:val="21"/>
                <w:szCs w:val="21"/>
              </w:rPr>
            </w:pPr>
            <w:r>
              <w:rPr>
                <w:rFonts w:ascii="仿宋" w:hAnsi="仿宋" w:eastAsia="仿宋"/>
                <w:color w:val="000000"/>
                <w:sz w:val="21"/>
                <w:szCs w:val="21"/>
              </w:rPr>
              <w:t>9</w:t>
            </w:r>
          </w:p>
        </w:tc>
        <w:tc>
          <w:tcPr>
            <w:tcW w:w="606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sz w:val="21"/>
                <w:szCs w:val="21"/>
              </w:rPr>
            </w:pPr>
            <w:r>
              <w:rPr>
                <w:rFonts w:hint="eastAsia" w:ascii="仿宋" w:hAnsi="仿宋" w:eastAsia="仿宋"/>
                <w:sz w:val="21"/>
                <w:szCs w:val="21"/>
              </w:rPr>
              <w:t>带变焦高清摄像头</w:t>
            </w:r>
          </w:p>
        </w:tc>
        <w:tc>
          <w:tcPr>
            <w:tcW w:w="1276" w:type="dxa"/>
            <w:tcBorders>
              <w:top w:val="nil"/>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sz w:val="21"/>
                <w:szCs w:val="21"/>
              </w:rPr>
            </w:pPr>
            <w:r>
              <w:rPr>
                <w:rFonts w:hint="eastAsia" w:ascii="仿宋" w:hAnsi="仿宋" w:eastAsia="仿宋"/>
                <w:sz w:val="21"/>
                <w:szCs w:val="21"/>
              </w:rPr>
              <w:t>2</w:t>
            </w:r>
            <w:r>
              <w:rPr>
                <w:rFonts w:ascii="仿宋" w:hAnsi="仿宋" w:eastAsia="仿宋"/>
                <w:sz w:val="21"/>
                <w:szCs w:val="21"/>
              </w:rPr>
              <w:t>2</w:t>
            </w:r>
          </w:p>
        </w:tc>
        <w:tc>
          <w:tcPr>
            <w:tcW w:w="708"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olor w:val="000000"/>
                <w:sz w:val="21"/>
                <w:szCs w:val="21"/>
              </w:rPr>
            </w:pPr>
            <w:r>
              <w:rPr>
                <w:rFonts w:hint="eastAsia" w:ascii="仿宋" w:hAnsi="仿宋" w:eastAsia="仿宋"/>
                <w:color w:val="000000"/>
                <w:sz w:val="21"/>
                <w:szCs w:val="21"/>
              </w:rPr>
              <w:t>台</w:t>
            </w:r>
          </w:p>
        </w:tc>
      </w:tr>
      <w:tr>
        <w:tblPrEx>
          <w:tblCellMar>
            <w:top w:w="0" w:type="dxa"/>
            <w:left w:w="108" w:type="dxa"/>
            <w:bottom w:w="0" w:type="dxa"/>
            <w:right w:w="108" w:type="dxa"/>
          </w:tblCellMar>
        </w:tblPrEx>
        <w:trPr>
          <w:trHeight w:val="205" w:hRule="atLeast"/>
        </w:trPr>
        <w:tc>
          <w:tcPr>
            <w:tcW w:w="728"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olor w:val="000000"/>
                <w:sz w:val="21"/>
                <w:szCs w:val="21"/>
              </w:rPr>
            </w:pPr>
            <w:r>
              <w:rPr>
                <w:rFonts w:hint="eastAsia" w:ascii="仿宋" w:hAnsi="仿宋" w:eastAsia="仿宋"/>
                <w:color w:val="000000"/>
                <w:sz w:val="21"/>
                <w:szCs w:val="21"/>
              </w:rPr>
              <w:t>1</w:t>
            </w:r>
            <w:r>
              <w:rPr>
                <w:rFonts w:ascii="仿宋" w:hAnsi="仿宋" w:eastAsia="仿宋"/>
                <w:color w:val="000000"/>
                <w:sz w:val="21"/>
                <w:szCs w:val="21"/>
              </w:rPr>
              <w:t>0</w:t>
            </w:r>
          </w:p>
        </w:tc>
        <w:tc>
          <w:tcPr>
            <w:tcW w:w="606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sz w:val="21"/>
                <w:szCs w:val="21"/>
              </w:rPr>
            </w:pPr>
            <w:r>
              <w:rPr>
                <w:rFonts w:hint="eastAsia" w:ascii="仿宋" w:hAnsi="仿宋" w:eastAsia="仿宋"/>
                <w:sz w:val="21"/>
                <w:szCs w:val="21"/>
              </w:rPr>
              <w:t>普通摄像头</w:t>
            </w:r>
          </w:p>
        </w:tc>
        <w:tc>
          <w:tcPr>
            <w:tcW w:w="1276" w:type="dxa"/>
            <w:tcBorders>
              <w:top w:val="nil"/>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sz w:val="21"/>
                <w:szCs w:val="21"/>
              </w:rPr>
            </w:pPr>
            <w:r>
              <w:rPr>
                <w:rFonts w:hint="eastAsia" w:ascii="仿宋" w:hAnsi="仿宋" w:eastAsia="仿宋"/>
                <w:sz w:val="21"/>
                <w:szCs w:val="21"/>
              </w:rPr>
              <w:t>7</w:t>
            </w:r>
          </w:p>
        </w:tc>
        <w:tc>
          <w:tcPr>
            <w:tcW w:w="708"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olor w:val="000000"/>
                <w:sz w:val="21"/>
                <w:szCs w:val="21"/>
              </w:rPr>
            </w:pPr>
            <w:r>
              <w:rPr>
                <w:rFonts w:hint="eastAsia" w:ascii="仿宋" w:hAnsi="仿宋" w:eastAsia="仿宋"/>
                <w:color w:val="000000"/>
                <w:sz w:val="21"/>
                <w:szCs w:val="21"/>
              </w:rPr>
              <w:t>台</w:t>
            </w:r>
          </w:p>
        </w:tc>
      </w:tr>
      <w:tr>
        <w:tblPrEx>
          <w:tblCellMar>
            <w:top w:w="0" w:type="dxa"/>
            <w:left w:w="108" w:type="dxa"/>
            <w:bottom w:w="0" w:type="dxa"/>
            <w:right w:w="108" w:type="dxa"/>
          </w:tblCellMar>
        </w:tblPrEx>
        <w:trPr>
          <w:trHeight w:val="205" w:hRule="atLeast"/>
        </w:trPr>
        <w:tc>
          <w:tcPr>
            <w:tcW w:w="728"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olor w:val="000000"/>
                <w:sz w:val="21"/>
                <w:szCs w:val="21"/>
              </w:rPr>
            </w:pPr>
            <w:r>
              <w:rPr>
                <w:rFonts w:hint="eastAsia" w:ascii="仿宋" w:hAnsi="仿宋" w:eastAsia="仿宋"/>
                <w:color w:val="000000"/>
                <w:sz w:val="21"/>
                <w:szCs w:val="21"/>
              </w:rPr>
              <w:t>1</w:t>
            </w:r>
            <w:r>
              <w:rPr>
                <w:rFonts w:ascii="仿宋" w:hAnsi="仿宋" w:eastAsia="仿宋"/>
                <w:color w:val="000000"/>
                <w:sz w:val="21"/>
                <w:szCs w:val="21"/>
              </w:rPr>
              <w:t>1</w:t>
            </w:r>
          </w:p>
        </w:tc>
        <w:tc>
          <w:tcPr>
            <w:tcW w:w="606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sz w:val="21"/>
                <w:szCs w:val="21"/>
              </w:rPr>
            </w:pPr>
            <w:r>
              <w:rPr>
                <w:rFonts w:hint="eastAsia" w:ascii="仿宋" w:hAnsi="仿宋" w:eastAsia="仿宋"/>
                <w:sz w:val="21"/>
                <w:szCs w:val="21"/>
              </w:rPr>
              <w:t>N</w:t>
            </w:r>
            <w:r>
              <w:rPr>
                <w:rFonts w:ascii="仿宋" w:hAnsi="仿宋" w:eastAsia="仿宋"/>
                <w:sz w:val="21"/>
                <w:szCs w:val="21"/>
              </w:rPr>
              <w:t>VR</w:t>
            </w:r>
            <w:r>
              <w:rPr>
                <w:rFonts w:hint="eastAsia" w:ascii="仿宋" w:hAnsi="仿宋" w:eastAsia="仿宋"/>
                <w:sz w:val="21"/>
                <w:szCs w:val="21"/>
              </w:rPr>
              <w:t>网络硬盘录像机</w:t>
            </w:r>
          </w:p>
        </w:tc>
        <w:tc>
          <w:tcPr>
            <w:tcW w:w="1276" w:type="dxa"/>
            <w:tcBorders>
              <w:top w:val="nil"/>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sz w:val="21"/>
                <w:szCs w:val="21"/>
              </w:rPr>
            </w:pPr>
            <w:r>
              <w:rPr>
                <w:rFonts w:hint="eastAsia" w:ascii="仿宋" w:hAnsi="仿宋" w:eastAsia="仿宋"/>
                <w:sz w:val="21"/>
                <w:szCs w:val="21"/>
              </w:rPr>
              <w:t>1</w:t>
            </w:r>
          </w:p>
        </w:tc>
        <w:tc>
          <w:tcPr>
            <w:tcW w:w="708"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olor w:val="000000"/>
                <w:sz w:val="21"/>
                <w:szCs w:val="21"/>
              </w:rPr>
            </w:pPr>
            <w:r>
              <w:rPr>
                <w:rFonts w:hint="eastAsia" w:ascii="仿宋" w:hAnsi="仿宋" w:eastAsia="仿宋"/>
                <w:color w:val="000000"/>
                <w:sz w:val="21"/>
                <w:szCs w:val="21"/>
              </w:rPr>
              <w:t>台</w:t>
            </w:r>
          </w:p>
        </w:tc>
      </w:tr>
      <w:tr>
        <w:tblPrEx>
          <w:tblCellMar>
            <w:top w:w="0" w:type="dxa"/>
            <w:left w:w="108" w:type="dxa"/>
            <w:bottom w:w="0" w:type="dxa"/>
            <w:right w:w="108" w:type="dxa"/>
          </w:tblCellMar>
        </w:tblPrEx>
        <w:trPr>
          <w:trHeight w:val="205" w:hRule="atLeast"/>
        </w:trPr>
        <w:tc>
          <w:tcPr>
            <w:tcW w:w="728"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olor w:val="000000"/>
                <w:sz w:val="21"/>
                <w:szCs w:val="21"/>
              </w:rPr>
            </w:pPr>
            <w:r>
              <w:rPr>
                <w:rFonts w:hint="eastAsia" w:ascii="仿宋" w:hAnsi="仿宋" w:eastAsia="仿宋"/>
                <w:color w:val="000000"/>
                <w:sz w:val="21"/>
                <w:szCs w:val="21"/>
              </w:rPr>
              <w:t>1</w:t>
            </w:r>
            <w:r>
              <w:rPr>
                <w:rFonts w:ascii="仿宋" w:hAnsi="仿宋" w:eastAsia="仿宋"/>
                <w:color w:val="000000"/>
                <w:sz w:val="21"/>
                <w:szCs w:val="21"/>
              </w:rPr>
              <w:t>2</w:t>
            </w:r>
          </w:p>
        </w:tc>
        <w:tc>
          <w:tcPr>
            <w:tcW w:w="606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sz w:val="21"/>
                <w:szCs w:val="21"/>
              </w:rPr>
            </w:pPr>
            <w:r>
              <w:rPr>
                <w:rFonts w:hint="eastAsia" w:ascii="仿宋" w:hAnsi="仿宋" w:eastAsia="仿宋"/>
                <w:sz w:val="21"/>
                <w:szCs w:val="21"/>
              </w:rPr>
              <w:t>监控硬盘</w:t>
            </w:r>
          </w:p>
        </w:tc>
        <w:tc>
          <w:tcPr>
            <w:tcW w:w="1276" w:type="dxa"/>
            <w:tcBorders>
              <w:top w:val="nil"/>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sz w:val="21"/>
                <w:szCs w:val="21"/>
              </w:rPr>
            </w:pPr>
            <w:r>
              <w:rPr>
                <w:rFonts w:hint="eastAsia" w:ascii="仿宋" w:hAnsi="仿宋" w:eastAsia="仿宋"/>
                <w:sz w:val="21"/>
                <w:szCs w:val="21"/>
              </w:rPr>
              <w:t>7</w:t>
            </w:r>
          </w:p>
        </w:tc>
        <w:tc>
          <w:tcPr>
            <w:tcW w:w="708"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olor w:val="000000"/>
                <w:sz w:val="21"/>
                <w:szCs w:val="21"/>
              </w:rPr>
            </w:pPr>
            <w:r>
              <w:rPr>
                <w:rFonts w:hint="eastAsia" w:ascii="仿宋" w:hAnsi="仿宋" w:eastAsia="仿宋"/>
                <w:color w:val="000000"/>
                <w:sz w:val="21"/>
                <w:szCs w:val="21"/>
              </w:rPr>
              <w:t>块</w:t>
            </w:r>
          </w:p>
        </w:tc>
      </w:tr>
      <w:tr>
        <w:tblPrEx>
          <w:tblCellMar>
            <w:top w:w="0" w:type="dxa"/>
            <w:left w:w="108" w:type="dxa"/>
            <w:bottom w:w="0" w:type="dxa"/>
            <w:right w:w="108" w:type="dxa"/>
          </w:tblCellMar>
        </w:tblPrEx>
        <w:trPr>
          <w:trHeight w:val="205" w:hRule="atLeast"/>
        </w:trPr>
        <w:tc>
          <w:tcPr>
            <w:tcW w:w="728"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olor w:val="000000"/>
                <w:sz w:val="21"/>
                <w:szCs w:val="21"/>
              </w:rPr>
            </w:pPr>
            <w:r>
              <w:rPr>
                <w:rFonts w:hint="eastAsia" w:ascii="仿宋" w:hAnsi="仿宋" w:eastAsia="仿宋"/>
                <w:color w:val="000000"/>
                <w:sz w:val="21"/>
                <w:szCs w:val="21"/>
              </w:rPr>
              <w:t>1</w:t>
            </w:r>
            <w:r>
              <w:rPr>
                <w:rFonts w:ascii="仿宋" w:hAnsi="仿宋" w:eastAsia="仿宋"/>
                <w:color w:val="000000"/>
                <w:sz w:val="21"/>
                <w:szCs w:val="21"/>
              </w:rPr>
              <w:t>3</w:t>
            </w:r>
          </w:p>
        </w:tc>
        <w:tc>
          <w:tcPr>
            <w:tcW w:w="606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sz w:val="21"/>
                <w:szCs w:val="21"/>
              </w:rPr>
            </w:pPr>
            <w:r>
              <w:rPr>
                <w:rFonts w:hint="eastAsia" w:ascii="仿宋" w:hAnsi="仿宋" w:eastAsia="仿宋"/>
                <w:sz w:val="21"/>
                <w:szCs w:val="21"/>
              </w:rPr>
              <w:t>护士工作站</w:t>
            </w:r>
          </w:p>
        </w:tc>
        <w:tc>
          <w:tcPr>
            <w:tcW w:w="1276" w:type="dxa"/>
            <w:tcBorders>
              <w:top w:val="nil"/>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sz w:val="21"/>
                <w:szCs w:val="21"/>
              </w:rPr>
            </w:pPr>
            <w:r>
              <w:rPr>
                <w:rFonts w:hint="eastAsia" w:ascii="仿宋" w:hAnsi="仿宋" w:eastAsia="仿宋"/>
                <w:sz w:val="21"/>
                <w:szCs w:val="21"/>
              </w:rPr>
              <w:t>2</w:t>
            </w:r>
          </w:p>
        </w:tc>
        <w:tc>
          <w:tcPr>
            <w:tcW w:w="708"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olor w:val="000000"/>
                <w:sz w:val="21"/>
                <w:szCs w:val="21"/>
              </w:rPr>
            </w:pPr>
            <w:r>
              <w:rPr>
                <w:rFonts w:hint="eastAsia" w:ascii="仿宋" w:hAnsi="仿宋" w:eastAsia="仿宋"/>
                <w:color w:val="000000"/>
                <w:sz w:val="21"/>
                <w:szCs w:val="21"/>
              </w:rPr>
              <w:t>台</w:t>
            </w:r>
          </w:p>
        </w:tc>
      </w:tr>
      <w:tr>
        <w:tblPrEx>
          <w:tblCellMar>
            <w:top w:w="0" w:type="dxa"/>
            <w:left w:w="108" w:type="dxa"/>
            <w:bottom w:w="0" w:type="dxa"/>
            <w:right w:w="108" w:type="dxa"/>
          </w:tblCellMar>
        </w:tblPrEx>
        <w:trPr>
          <w:trHeight w:val="205" w:hRule="atLeast"/>
        </w:trPr>
        <w:tc>
          <w:tcPr>
            <w:tcW w:w="728"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olor w:val="000000"/>
                <w:sz w:val="21"/>
                <w:szCs w:val="21"/>
              </w:rPr>
            </w:pPr>
            <w:r>
              <w:rPr>
                <w:rFonts w:ascii="仿宋" w:hAnsi="仿宋" w:eastAsia="仿宋"/>
                <w:color w:val="000000"/>
                <w:sz w:val="21"/>
                <w:szCs w:val="21"/>
              </w:rPr>
              <w:t>14</w:t>
            </w:r>
          </w:p>
        </w:tc>
        <w:tc>
          <w:tcPr>
            <w:tcW w:w="606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sz w:val="21"/>
                <w:szCs w:val="21"/>
              </w:rPr>
            </w:pPr>
            <w:r>
              <w:rPr>
                <w:rFonts w:hint="eastAsia" w:ascii="仿宋" w:hAnsi="仿宋" w:eastAsia="仿宋"/>
                <w:sz w:val="21"/>
                <w:szCs w:val="21"/>
              </w:rPr>
              <w:t>大屏高清电视</w:t>
            </w:r>
          </w:p>
        </w:tc>
        <w:tc>
          <w:tcPr>
            <w:tcW w:w="1276" w:type="dxa"/>
            <w:tcBorders>
              <w:top w:val="nil"/>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sz w:val="21"/>
                <w:szCs w:val="21"/>
              </w:rPr>
            </w:pPr>
            <w:r>
              <w:rPr>
                <w:rFonts w:ascii="仿宋" w:hAnsi="仿宋" w:eastAsia="仿宋"/>
                <w:sz w:val="21"/>
                <w:szCs w:val="21"/>
              </w:rPr>
              <w:t>2</w:t>
            </w:r>
          </w:p>
        </w:tc>
        <w:tc>
          <w:tcPr>
            <w:tcW w:w="708"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olor w:val="000000"/>
                <w:sz w:val="21"/>
                <w:szCs w:val="21"/>
              </w:rPr>
            </w:pPr>
            <w:r>
              <w:rPr>
                <w:rFonts w:hint="eastAsia" w:ascii="仿宋" w:hAnsi="仿宋" w:eastAsia="仿宋"/>
                <w:color w:val="000000"/>
                <w:sz w:val="21"/>
                <w:szCs w:val="21"/>
              </w:rPr>
              <w:t>台</w:t>
            </w:r>
          </w:p>
        </w:tc>
      </w:tr>
    </w:tbl>
    <w:p>
      <w:pPr>
        <w:spacing w:after="160" w:line="259" w:lineRule="auto"/>
        <w:rPr>
          <w:rFonts w:ascii="仿宋" w:hAnsi="仿宋" w:eastAsia="仿宋" w:cs="Times New Roman"/>
          <w:b/>
          <w:kern w:val="2"/>
          <w:sz w:val="24"/>
          <w:szCs w:val="24"/>
        </w:rPr>
      </w:pP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mN2QyYWRlNzM3OGE4NDgyNmFiNmQ5YmIyOGRhMzIifQ=="/>
  </w:docVars>
  <w:rsids>
    <w:rsidRoot w:val="06B910A4"/>
    <w:rsid w:val="00011014"/>
    <w:rsid w:val="0006773F"/>
    <w:rsid w:val="000A6D99"/>
    <w:rsid w:val="000F139E"/>
    <w:rsid w:val="0011561A"/>
    <w:rsid w:val="00134D05"/>
    <w:rsid w:val="001F5C50"/>
    <w:rsid w:val="002041BF"/>
    <w:rsid w:val="00245CA9"/>
    <w:rsid w:val="00251EFF"/>
    <w:rsid w:val="00255CB6"/>
    <w:rsid w:val="002878A6"/>
    <w:rsid w:val="002B6D4F"/>
    <w:rsid w:val="002D4D25"/>
    <w:rsid w:val="003632F2"/>
    <w:rsid w:val="003A0989"/>
    <w:rsid w:val="003A33FC"/>
    <w:rsid w:val="003C02EC"/>
    <w:rsid w:val="003F1182"/>
    <w:rsid w:val="00476F69"/>
    <w:rsid w:val="004874BC"/>
    <w:rsid w:val="004C45BA"/>
    <w:rsid w:val="005614B5"/>
    <w:rsid w:val="005E722A"/>
    <w:rsid w:val="00623073"/>
    <w:rsid w:val="00667977"/>
    <w:rsid w:val="00676F80"/>
    <w:rsid w:val="0068344D"/>
    <w:rsid w:val="006A7771"/>
    <w:rsid w:val="006E40BB"/>
    <w:rsid w:val="00747B44"/>
    <w:rsid w:val="00770BAF"/>
    <w:rsid w:val="007F5190"/>
    <w:rsid w:val="008038BB"/>
    <w:rsid w:val="008462C9"/>
    <w:rsid w:val="0085207B"/>
    <w:rsid w:val="00852423"/>
    <w:rsid w:val="0086405C"/>
    <w:rsid w:val="008C4C6C"/>
    <w:rsid w:val="008D5841"/>
    <w:rsid w:val="00A019D7"/>
    <w:rsid w:val="00A51DED"/>
    <w:rsid w:val="00AC65D5"/>
    <w:rsid w:val="00AE2A10"/>
    <w:rsid w:val="00AE7669"/>
    <w:rsid w:val="00AF6090"/>
    <w:rsid w:val="00B977B8"/>
    <w:rsid w:val="00BA5338"/>
    <w:rsid w:val="00BB680D"/>
    <w:rsid w:val="00BD6543"/>
    <w:rsid w:val="00C14A25"/>
    <w:rsid w:val="00C2634A"/>
    <w:rsid w:val="00C505D6"/>
    <w:rsid w:val="00CB3384"/>
    <w:rsid w:val="00CE4513"/>
    <w:rsid w:val="00D36231"/>
    <w:rsid w:val="00D70673"/>
    <w:rsid w:val="00D82977"/>
    <w:rsid w:val="00D91E9F"/>
    <w:rsid w:val="00D97BA8"/>
    <w:rsid w:val="00DA065A"/>
    <w:rsid w:val="00DC0662"/>
    <w:rsid w:val="00DE0593"/>
    <w:rsid w:val="00DF3DD1"/>
    <w:rsid w:val="00DF764D"/>
    <w:rsid w:val="00EF5295"/>
    <w:rsid w:val="00F05F60"/>
    <w:rsid w:val="00F40D62"/>
    <w:rsid w:val="00F913E0"/>
    <w:rsid w:val="00F975D8"/>
    <w:rsid w:val="00FF60CA"/>
    <w:rsid w:val="06B910A4"/>
    <w:rsid w:val="3B6F4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宋体"/>
      <w:sz w:val="34"/>
      <w:szCs w:val="3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spacing w:after="160" w:line="259" w:lineRule="auto"/>
      <w:ind w:firstLine="420" w:firstLineChars="200"/>
    </w:pPr>
    <w:rPr>
      <w:rFonts w:ascii="Calibri" w:hAnsi="Calibri" w:cs="Times New Roman"/>
      <w:kern w:val="2"/>
      <w:sz w:val="21"/>
      <w:szCs w:val="24"/>
    </w:rPr>
  </w:style>
  <w:style w:type="character" w:customStyle="1" w:styleId="8">
    <w:name w:val="页眉 字符"/>
    <w:basedOn w:val="6"/>
    <w:link w:val="3"/>
    <w:uiPriority w:val="0"/>
    <w:rPr>
      <w:rFonts w:ascii="宋体" w:hAnsi="Times New Roman" w:eastAsia="宋体" w:cs="宋体"/>
      <w:sz w:val="18"/>
      <w:szCs w:val="18"/>
    </w:rPr>
  </w:style>
  <w:style w:type="character" w:customStyle="1" w:styleId="9">
    <w:name w:val="页脚 字符"/>
    <w:basedOn w:val="6"/>
    <w:link w:val="2"/>
    <w:uiPriority w:val="0"/>
    <w:rPr>
      <w:rFonts w:ascii="宋体" w:hAnsi="Times New Roman" w:eastAsia="宋体" w:cs="宋体"/>
      <w:sz w:val="18"/>
      <w:szCs w:val="18"/>
    </w:rPr>
  </w:style>
  <w:style w:type="paragraph" w:customStyle="1" w:styleId="10">
    <w:name w:val="Table Paragraph"/>
    <w:basedOn w:val="1"/>
    <w:qFormat/>
    <w:uiPriority w:val="1"/>
    <w:pPr>
      <w:autoSpaceDE w:val="0"/>
      <w:autoSpaceDN w:val="0"/>
      <w:jc w:val="left"/>
    </w:pPr>
    <w:rPr>
      <w:rFonts w:ascii="仿宋" w:hAnsi="仿宋" w:eastAsia="仿宋" w:cs="仿宋"/>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EA25A-F4C0-4429-81E3-090615362355}">
  <ds:schemaRefs/>
</ds:datastoreItem>
</file>

<file path=docProps/app.xml><?xml version="1.0" encoding="utf-8"?>
<Properties xmlns="http://schemas.openxmlformats.org/officeDocument/2006/extended-properties" xmlns:vt="http://schemas.openxmlformats.org/officeDocument/2006/docPropsVTypes">
  <Template>Normal.dotm</Template>
  <Pages>6</Pages>
  <Words>3505</Words>
  <Characters>3583</Characters>
  <Lines>26</Lines>
  <Paragraphs>7</Paragraphs>
  <TotalTime>0</TotalTime>
  <ScaleCrop>false</ScaleCrop>
  <LinksUpToDate>false</LinksUpToDate>
  <CharactersWithSpaces>3583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2023-05-15T01:53:00Z</dcterms:created>
  <dc:creator>在工作之余</dc:creator>
  <cp:lastModifiedBy>在工作之余</cp:lastModifiedBy>
  <dcterms:modified xsi:type="dcterms:W3CDTF">2023-05-16T01:54:57Z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415BA2FADA1D4C23A67B6C4EF86744D4_11</vt:lpwstr>
  </property>
</Properties>
</file>